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0A17" w:rsidRPr="008F7DEE" w:rsidRDefault="00750A17" w:rsidP="00750A17">
      <w:pPr>
        <w:rPr>
          <w:rFonts w:ascii="Verdana" w:hAnsi="Verdana"/>
          <w:sz w:val="20"/>
          <w:szCs w:val="20"/>
        </w:rPr>
      </w:pPr>
      <w:r w:rsidRPr="008F7DEE">
        <w:rPr>
          <w:rFonts w:ascii="Verdana" w:hAnsi="Verdana"/>
          <w:sz w:val="20"/>
          <w:szCs w:val="20"/>
        </w:rPr>
        <w:t>C</w:t>
      </w:r>
      <w:r>
        <w:rPr>
          <w:rFonts w:ascii="Verdana" w:hAnsi="Verdana"/>
          <w:sz w:val="20"/>
          <w:szCs w:val="20"/>
        </w:rPr>
        <w:t>artagena de Indias D. T. y C. 27</w:t>
      </w:r>
      <w:r w:rsidRPr="008F7DEE">
        <w:rPr>
          <w:rFonts w:ascii="Verdana" w:hAnsi="Verdana"/>
          <w:sz w:val="20"/>
          <w:szCs w:val="20"/>
        </w:rPr>
        <w:t xml:space="preserve"> de Octubre / 15</w:t>
      </w:r>
    </w:p>
    <w:p w:rsidR="00750A17" w:rsidRPr="008F7DEE" w:rsidRDefault="00750A17" w:rsidP="00750A17">
      <w:pPr>
        <w:rPr>
          <w:rFonts w:ascii="Verdana" w:hAnsi="Verdana"/>
          <w:sz w:val="20"/>
          <w:szCs w:val="20"/>
        </w:rPr>
      </w:pPr>
    </w:p>
    <w:p w:rsidR="00750A17" w:rsidRPr="008F7DEE" w:rsidRDefault="00750A17" w:rsidP="00750A17">
      <w:pPr>
        <w:spacing w:after="0"/>
        <w:rPr>
          <w:rFonts w:ascii="Verdana" w:hAnsi="Verdana"/>
          <w:sz w:val="20"/>
          <w:szCs w:val="20"/>
        </w:rPr>
      </w:pPr>
      <w:r w:rsidRPr="008F7DEE">
        <w:rPr>
          <w:rFonts w:ascii="Verdana" w:hAnsi="Verdana"/>
          <w:sz w:val="20"/>
          <w:szCs w:val="20"/>
        </w:rPr>
        <w:t>Señores</w:t>
      </w:r>
    </w:p>
    <w:p w:rsidR="00750A17" w:rsidRPr="008F7DEE" w:rsidRDefault="00750A17" w:rsidP="00750A17">
      <w:pPr>
        <w:spacing w:after="0"/>
        <w:rPr>
          <w:rFonts w:ascii="Verdana" w:hAnsi="Verdana"/>
          <w:b/>
          <w:sz w:val="20"/>
          <w:szCs w:val="20"/>
        </w:rPr>
      </w:pPr>
      <w:r w:rsidRPr="008F7DEE">
        <w:rPr>
          <w:rFonts w:ascii="Verdana" w:hAnsi="Verdana"/>
          <w:b/>
          <w:sz w:val="20"/>
          <w:szCs w:val="20"/>
        </w:rPr>
        <w:t>COMISIÓN DE EMPALME</w:t>
      </w:r>
    </w:p>
    <w:p w:rsidR="00750A17" w:rsidRPr="008F7DEE" w:rsidRDefault="00750A17" w:rsidP="00750A17">
      <w:pPr>
        <w:spacing w:after="0"/>
        <w:rPr>
          <w:rFonts w:ascii="Verdana" w:hAnsi="Verdana"/>
          <w:sz w:val="20"/>
          <w:szCs w:val="20"/>
        </w:rPr>
      </w:pPr>
      <w:r w:rsidRPr="008F7DEE">
        <w:rPr>
          <w:rFonts w:ascii="Verdana" w:hAnsi="Verdana"/>
          <w:sz w:val="20"/>
          <w:szCs w:val="20"/>
        </w:rPr>
        <w:t>La Gobernación de Bolívar</w:t>
      </w:r>
    </w:p>
    <w:p w:rsidR="00750A17" w:rsidRPr="008F7DEE" w:rsidRDefault="00750A17" w:rsidP="00750A17">
      <w:pPr>
        <w:spacing w:after="0"/>
        <w:rPr>
          <w:rFonts w:ascii="Verdana" w:hAnsi="Verdana"/>
          <w:sz w:val="20"/>
          <w:szCs w:val="20"/>
        </w:rPr>
      </w:pPr>
      <w:r w:rsidRPr="008F7DEE">
        <w:rPr>
          <w:rFonts w:ascii="Verdana" w:hAnsi="Verdana"/>
          <w:sz w:val="20"/>
          <w:szCs w:val="20"/>
        </w:rPr>
        <w:t>L. C.</w:t>
      </w:r>
    </w:p>
    <w:p w:rsidR="00750A17" w:rsidRDefault="00750A17" w:rsidP="00750A17">
      <w:pPr>
        <w:spacing w:after="0"/>
        <w:rPr>
          <w:rFonts w:ascii="Verdana" w:hAnsi="Verdana"/>
          <w:sz w:val="20"/>
          <w:szCs w:val="20"/>
        </w:rPr>
      </w:pPr>
      <w:bookmarkStart w:id="0" w:name="_GoBack"/>
      <w:bookmarkEnd w:id="0"/>
    </w:p>
    <w:p w:rsidR="00750A17" w:rsidRPr="008F7DEE" w:rsidRDefault="00750A17" w:rsidP="00750A17">
      <w:pPr>
        <w:spacing w:after="0"/>
        <w:rPr>
          <w:rFonts w:ascii="Verdana" w:hAnsi="Verdana"/>
          <w:sz w:val="20"/>
          <w:szCs w:val="20"/>
        </w:rPr>
      </w:pPr>
    </w:p>
    <w:p w:rsidR="00750A17" w:rsidRDefault="00750A17" w:rsidP="00750A17">
      <w:pPr>
        <w:jc w:val="both"/>
        <w:rPr>
          <w:rFonts w:ascii="Verdana" w:hAnsi="Verdana"/>
          <w:sz w:val="20"/>
          <w:szCs w:val="20"/>
        </w:rPr>
      </w:pPr>
      <w:r w:rsidRPr="008F7DEE">
        <w:rPr>
          <w:rFonts w:ascii="Verdana" w:hAnsi="Verdana"/>
          <w:b/>
          <w:sz w:val="20"/>
          <w:szCs w:val="20"/>
        </w:rPr>
        <w:t xml:space="preserve">ASUNTO: </w:t>
      </w:r>
      <w:r>
        <w:rPr>
          <w:rFonts w:ascii="Verdana" w:hAnsi="Verdana"/>
          <w:sz w:val="20"/>
          <w:szCs w:val="20"/>
        </w:rPr>
        <w:t>Recomendacione</w:t>
      </w:r>
      <w:r w:rsidRPr="008F7DEE">
        <w:rPr>
          <w:rFonts w:ascii="Verdana" w:hAnsi="Verdana"/>
          <w:sz w:val="20"/>
          <w:szCs w:val="20"/>
        </w:rPr>
        <w:t xml:space="preserve">s </w:t>
      </w:r>
      <w:r>
        <w:rPr>
          <w:rFonts w:ascii="Verdana" w:hAnsi="Verdana"/>
          <w:sz w:val="20"/>
          <w:szCs w:val="20"/>
        </w:rPr>
        <w:t>sobre los actuaciones pertinentes para sanear los bienes</w:t>
      </w:r>
      <w:r w:rsidR="00902F47">
        <w:rPr>
          <w:rFonts w:ascii="Verdana" w:hAnsi="Verdana"/>
          <w:sz w:val="20"/>
          <w:szCs w:val="20"/>
        </w:rPr>
        <w:t xml:space="preserve"> inmuebles por concepto de IPU y tramitar </w:t>
      </w:r>
      <w:r>
        <w:rPr>
          <w:rFonts w:ascii="Verdana" w:hAnsi="Verdana"/>
          <w:sz w:val="20"/>
          <w:szCs w:val="20"/>
        </w:rPr>
        <w:t>exoneraciones</w:t>
      </w:r>
      <w:r w:rsidR="00902F47">
        <w:rPr>
          <w:rFonts w:ascii="Verdana" w:hAnsi="Verdana"/>
          <w:sz w:val="20"/>
          <w:szCs w:val="20"/>
        </w:rPr>
        <w:t xml:space="preserve"> de bienes inmuebles</w:t>
      </w:r>
      <w:r>
        <w:rPr>
          <w:rFonts w:ascii="Verdana" w:hAnsi="Verdana"/>
          <w:sz w:val="20"/>
          <w:szCs w:val="20"/>
        </w:rPr>
        <w:t xml:space="preserve"> por estar declarados como BIC.</w:t>
      </w:r>
    </w:p>
    <w:p w:rsidR="00902F47" w:rsidRDefault="00902F47" w:rsidP="00902F47">
      <w:pPr>
        <w:jc w:val="both"/>
        <w:rPr>
          <w:rFonts w:ascii="Verdana" w:hAnsi="Verdana"/>
          <w:sz w:val="20"/>
          <w:szCs w:val="20"/>
        </w:rPr>
      </w:pPr>
    </w:p>
    <w:p w:rsidR="00902F47" w:rsidRDefault="00902F47" w:rsidP="00902F47">
      <w:pPr>
        <w:jc w:val="both"/>
        <w:rPr>
          <w:rFonts w:ascii="Verdana" w:hAnsi="Verdana"/>
          <w:sz w:val="20"/>
          <w:szCs w:val="20"/>
        </w:rPr>
      </w:pPr>
      <w:r>
        <w:rPr>
          <w:rFonts w:ascii="Verdana" w:hAnsi="Verdana"/>
          <w:sz w:val="20"/>
          <w:szCs w:val="20"/>
        </w:rPr>
        <w:t xml:space="preserve">Cordial saludo, </w:t>
      </w:r>
    </w:p>
    <w:p w:rsidR="00902F47" w:rsidRPr="00902F47" w:rsidRDefault="00902F47" w:rsidP="00902F47">
      <w:pPr>
        <w:jc w:val="both"/>
        <w:rPr>
          <w:rFonts w:ascii="Verdana" w:hAnsi="Verdana"/>
          <w:b/>
          <w:sz w:val="20"/>
          <w:szCs w:val="20"/>
        </w:rPr>
      </w:pPr>
    </w:p>
    <w:p w:rsidR="00902F47" w:rsidRPr="00902F47" w:rsidRDefault="00902F47" w:rsidP="00902F47">
      <w:pPr>
        <w:jc w:val="both"/>
        <w:rPr>
          <w:rFonts w:ascii="Verdana" w:hAnsi="Verdana"/>
          <w:sz w:val="20"/>
          <w:szCs w:val="20"/>
        </w:rPr>
      </w:pPr>
      <w:r w:rsidRPr="00902F47">
        <w:rPr>
          <w:rFonts w:ascii="Verdana" w:hAnsi="Verdana"/>
          <w:sz w:val="20"/>
          <w:szCs w:val="20"/>
        </w:rPr>
        <w:t xml:space="preserve">Atendiendo la necesidad de sanear en materia tributaria lo adeudado por el Departamento por concepto de Impuesto Predial Unificado, se hizo necesario depurar lo que realmente se adeudaba, para efectos de pagar el monto restante, y evitar incurrir en </w:t>
      </w:r>
      <w:r>
        <w:rPr>
          <w:rFonts w:ascii="Verdana" w:hAnsi="Verdana"/>
          <w:sz w:val="20"/>
          <w:szCs w:val="20"/>
        </w:rPr>
        <w:t>detrimento patrimonial y pago de lo no debido</w:t>
      </w:r>
      <w:r w:rsidRPr="00902F47">
        <w:rPr>
          <w:rFonts w:ascii="Verdana" w:hAnsi="Verdana"/>
          <w:sz w:val="20"/>
          <w:szCs w:val="20"/>
        </w:rPr>
        <w:t xml:space="preserve">. De acuerdo a lo </w:t>
      </w:r>
      <w:r>
        <w:rPr>
          <w:rFonts w:ascii="Verdana" w:hAnsi="Verdana"/>
          <w:sz w:val="20"/>
          <w:szCs w:val="20"/>
        </w:rPr>
        <w:t>anterior</w:t>
      </w:r>
      <w:r w:rsidRPr="00902F47">
        <w:rPr>
          <w:rFonts w:ascii="Verdana" w:hAnsi="Verdana"/>
          <w:sz w:val="20"/>
          <w:szCs w:val="20"/>
        </w:rPr>
        <w:t>, la Dirección Administrativa Logística, con apoyo de la Oficina de Defensa Judicial, tomó las siguientes determinaciones:</w:t>
      </w:r>
    </w:p>
    <w:p w:rsidR="00902F47" w:rsidRPr="00902F47" w:rsidRDefault="00902F47" w:rsidP="00902F47">
      <w:pPr>
        <w:jc w:val="both"/>
        <w:rPr>
          <w:rFonts w:ascii="Verdana" w:hAnsi="Verdana"/>
          <w:sz w:val="20"/>
          <w:szCs w:val="20"/>
        </w:rPr>
      </w:pPr>
    </w:p>
    <w:p w:rsidR="00902F47" w:rsidRPr="00902F47" w:rsidRDefault="00902F47" w:rsidP="00902F47">
      <w:pPr>
        <w:numPr>
          <w:ilvl w:val="0"/>
          <w:numId w:val="2"/>
        </w:numPr>
        <w:jc w:val="both"/>
        <w:rPr>
          <w:rFonts w:ascii="Verdana" w:hAnsi="Verdana"/>
          <w:sz w:val="20"/>
          <w:szCs w:val="20"/>
        </w:rPr>
      </w:pPr>
      <w:r>
        <w:rPr>
          <w:rFonts w:ascii="Verdana" w:hAnsi="Verdana"/>
          <w:sz w:val="20"/>
          <w:szCs w:val="20"/>
        </w:rPr>
        <w:t>Previamente e</w:t>
      </w:r>
      <w:r w:rsidRPr="00902F47">
        <w:rPr>
          <w:rFonts w:ascii="Verdana" w:hAnsi="Verdana"/>
          <w:sz w:val="20"/>
          <w:szCs w:val="20"/>
        </w:rPr>
        <w:t xml:space="preserve">l Departamento, </w:t>
      </w:r>
      <w:r>
        <w:rPr>
          <w:rFonts w:ascii="Verdana" w:hAnsi="Verdana"/>
          <w:sz w:val="20"/>
          <w:szCs w:val="20"/>
        </w:rPr>
        <w:t xml:space="preserve">representado por el Gobernador, </w:t>
      </w:r>
      <w:r w:rsidRPr="00902F47">
        <w:rPr>
          <w:rFonts w:ascii="Verdana" w:hAnsi="Verdana"/>
          <w:sz w:val="20"/>
          <w:szCs w:val="20"/>
        </w:rPr>
        <w:t xml:space="preserve">Sr. Juan Carlos </w:t>
      </w:r>
      <w:proofErr w:type="spellStart"/>
      <w:r w:rsidRPr="00902F47">
        <w:rPr>
          <w:rFonts w:ascii="Verdana" w:hAnsi="Verdana"/>
          <w:sz w:val="20"/>
          <w:szCs w:val="20"/>
        </w:rPr>
        <w:t>Gossaín</w:t>
      </w:r>
      <w:proofErr w:type="spellEnd"/>
      <w:r w:rsidRPr="00902F47">
        <w:rPr>
          <w:rFonts w:ascii="Verdana" w:hAnsi="Verdana"/>
          <w:sz w:val="20"/>
          <w:szCs w:val="20"/>
        </w:rPr>
        <w:t xml:space="preserve"> </w:t>
      </w:r>
      <w:proofErr w:type="spellStart"/>
      <w:r w:rsidRPr="00902F47">
        <w:rPr>
          <w:rFonts w:ascii="Verdana" w:hAnsi="Verdana"/>
          <w:sz w:val="20"/>
          <w:szCs w:val="20"/>
        </w:rPr>
        <w:t>Rognini</w:t>
      </w:r>
      <w:proofErr w:type="spellEnd"/>
      <w:r>
        <w:rPr>
          <w:rFonts w:ascii="Verdana" w:hAnsi="Verdana"/>
          <w:sz w:val="20"/>
          <w:szCs w:val="20"/>
        </w:rPr>
        <w:t xml:space="preserve">, </w:t>
      </w:r>
      <w:r w:rsidRPr="00902F47">
        <w:rPr>
          <w:rFonts w:ascii="Verdana" w:hAnsi="Verdana"/>
          <w:sz w:val="20"/>
          <w:szCs w:val="20"/>
        </w:rPr>
        <w:t xml:space="preserve">mediante oficio </w:t>
      </w:r>
      <w:r>
        <w:rPr>
          <w:rFonts w:ascii="Verdana" w:hAnsi="Verdana"/>
          <w:sz w:val="20"/>
          <w:szCs w:val="20"/>
        </w:rPr>
        <w:t>con radicado EXT-AMC-13-0038076</w:t>
      </w:r>
      <w:r w:rsidRPr="00902F47">
        <w:rPr>
          <w:rFonts w:ascii="Verdana" w:hAnsi="Verdana"/>
          <w:sz w:val="20"/>
          <w:szCs w:val="20"/>
        </w:rPr>
        <w:t xml:space="preserve">, solicitó a la Secretaría de Hacienda Distrital el 13 de Junio / 2013, prescripción de anualidades </w:t>
      </w:r>
      <w:r w:rsidRPr="00902F47">
        <w:rPr>
          <w:rFonts w:ascii="Verdana" w:hAnsi="Verdana"/>
          <w:b/>
          <w:sz w:val="20"/>
          <w:szCs w:val="20"/>
          <w:u w:val="single"/>
        </w:rPr>
        <w:t>2008 y anteriores</w:t>
      </w:r>
      <w:r w:rsidRPr="00902F47">
        <w:rPr>
          <w:rFonts w:ascii="Verdana" w:hAnsi="Verdana"/>
          <w:sz w:val="20"/>
          <w:szCs w:val="20"/>
        </w:rPr>
        <w:t xml:space="preserve"> de los predios cuya titularidad ostenta, es decir 2.569 predios (algunos de estos predios se encuentran en proceso de titulación a favor de terceros).</w:t>
      </w:r>
    </w:p>
    <w:p w:rsidR="00902F47" w:rsidRPr="00902F47" w:rsidRDefault="00902F47" w:rsidP="00902F47">
      <w:pPr>
        <w:numPr>
          <w:ilvl w:val="0"/>
          <w:numId w:val="2"/>
        </w:numPr>
        <w:jc w:val="both"/>
        <w:rPr>
          <w:rFonts w:ascii="Verdana" w:hAnsi="Verdana"/>
          <w:sz w:val="20"/>
          <w:szCs w:val="20"/>
        </w:rPr>
      </w:pPr>
      <w:r w:rsidRPr="00902F47">
        <w:rPr>
          <w:rFonts w:ascii="Verdana" w:hAnsi="Verdana"/>
          <w:sz w:val="20"/>
          <w:szCs w:val="20"/>
        </w:rPr>
        <w:t xml:space="preserve">El día 23 de septiembre del 2013, la Secretaría de Hacienda Distrital, a través de Resolución AMC-RES-002451-2013, resolvió conceder y denegar algunas anualidades de cierto número de predios. </w:t>
      </w:r>
    </w:p>
    <w:p w:rsidR="00902F47" w:rsidRPr="00902F47" w:rsidRDefault="00902F47" w:rsidP="00902F47">
      <w:pPr>
        <w:numPr>
          <w:ilvl w:val="0"/>
          <w:numId w:val="2"/>
        </w:numPr>
        <w:jc w:val="both"/>
        <w:rPr>
          <w:rFonts w:ascii="Verdana" w:hAnsi="Verdana"/>
          <w:sz w:val="20"/>
          <w:szCs w:val="20"/>
        </w:rPr>
      </w:pPr>
      <w:r w:rsidRPr="00902F47">
        <w:rPr>
          <w:rFonts w:ascii="Verdana" w:hAnsi="Verdana"/>
          <w:sz w:val="20"/>
          <w:szCs w:val="20"/>
        </w:rPr>
        <w:t>Mediante oficio GOBOL-14-000090 del 17 de enero del 2014, y radicado EXT-AMC-14-0003435, el día 20 de enero del 2014, el Grupo de Defensa Judicial presentó Recurso de Reconsideración ante la Alcaldía Distrital y la Secretaría de Hacienda Distrital, manifestando la inconformidad con respecto a la Resolución AMC-RES-002451-2013. El argumento principal que sustentó el Recurso fue la ausencia de pruebas del Distrito al denegar ciertas prescripciones de anualidades. En dicho recurso, se impugnaron los artículos 4to, 5to, 6to y 7mo de dicho acto administrativo.</w:t>
      </w:r>
    </w:p>
    <w:p w:rsidR="00902F47" w:rsidRPr="00902F47" w:rsidRDefault="00902F47" w:rsidP="00902F47">
      <w:pPr>
        <w:numPr>
          <w:ilvl w:val="0"/>
          <w:numId w:val="2"/>
        </w:numPr>
        <w:jc w:val="both"/>
        <w:rPr>
          <w:rFonts w:ascii="Verdana" w:hAnsi="Verdana"/>
          <w:sz w:val="20"/>
          <w:szCs w:val="20"/>
        </w:rPr>
      </w:pPr>
      <w:r w:rsidRPr="00902F47">
        <w:rPr>
          <w:rFonts w:ascii="Verdana" w:hAnsi="Verdana"/>
          <w:sz w:val="20"/>
          <w:szCs w:val="20"/>
        </w:rPr>
        <w:t xml:space="preserve">Mediante Resolución AMC-RES-004006-2014 del 3 de Septiembre del 2014, la Secretaría de Hacienda Distrital resolvió el recurso y decide revocar los artículos 4to, 5to y 6to, excluyendo sin razón, el estudio de la solicitud que se hizo sobre el Artículo 7mo, el cual es bastante amplio: “Negar la solicitud de prescripción de las vigencias 2008 y anteriores de las referencias solicitadas por el representante legal del Departamento de Bolívar, el Sr. Juan Carlos </w:t>
      </w:r>
      <w:proofErr w:type="spellStart"/>
      <w:r w:rsidRPr="00902F47">
        <w:rPr>
          <w:rFonts w:ascii="Verdana" w:hAnsi="Verdana"/>
          <w:sz w:val="20"/>
          <w:szCs w:val="20"/>
        </w:rPr>
        <w:t>Gossaín</w:t>
      </w:r>
      <w:proofErr w:type="spellEnd"/>
      <w:r w:rsidRPr="00902F47">
        <w:rPr>
          <w:rFonts w:ascii="Verdana" w:hAnsi="Verdana"/>
          <w:sz w:val="20"/>
          <w:szCs w:val="20"/>
        </w:rPr>
        <w:t xml:space="preserve"> </w:t>
      </w:r>
      <w:proofErr w:type="spellStart"/>
      <w:r w:rsidRPr="00902F47">
        <w:rPr>
          <w:rFonts w:ascii="Verdana" w:hAnsi="Verdana"/>
          <w:sz w:val="20"/>
          <w:szCs w:val="20"/>
        </w:rPr>
        <w:t>Rognini</w:t>
      </w:r>
      <w:proofErr w:type="spellEnd"/>
      <w:r w:rsidRPr="00902F47">
        <w:rPr>
          <w:rFonts w:ascii="Verdana" w:hAnsi="Verdana"/>
          <w:sz w:val="20"/>
          <w:szCs w:val="20"/>
        </w:rPr>
        <w:t xml:space="preserve"> que no se encuentran relacionadas en los numerales primero, segundo y tercero de esta parte resolutiva, de conformidad con los argumentos expuestos en la parte considerativa.” </w:t>
      </w:r>
    </w:p>
    <w:p w:rsidR="00902F47" w:rsidRPr="00902F47" w:rsidRDefault="00902F47" w:rsidP="00902F47">
      <w:pPr>
        <w:jc w:val="both"/>
        <w:rPr>
          <w:rFonts w:ascii="Verdana" w:hAnsi="Verdana"/>
          <w:sz w:val="20"/>
          <w:szCs w:val="20"/>
        </w:rPr>
      </w:pPr>
    </w:p>
    <w:p w:rsidR="00902F47" w:rsidRPr="00902F47" w:rsidRDefault="00902F47" w:rsidP="00902F47">
      <w:pPr>
        <w:numPr>
          <w:ilvl w:val="0"/>
          <w:numId w:val="2"/>
        </w:numPr>
        <w:jc w:val="both"/>
        <w:rPr>
          <w:rFonts w:ascii="Verdana" w:hAnsi="Verdana"/>
          <w:sz w:val="20"/>
          <w:szCs w:val="20"/>
        </w:rPr>
      </w:pPr>
      <w:r w:rsidRPr="00902F47">
        <w:rPr>
          <w:rFonts w:ascii="Verdana" w:hAnsi="Verdana"/>
          <w:sz w:val="20"/>
          <w:szCs w:val="20"/>
        </w:rPr>
        <w:t xml:space="preserve">Dichos numerales comprenden una totalidad de 567 predios, dejando por fuera el estudio de 2.002, los cuales fueron ignorados en la Resolución que resolvió el recurso. </w:t>
      </w:r>
    </w:p>
    <w:p w:rsidR="00902F47" w:rsidRPr="00902F47" w:rsidRDefault="00902F47" w:rsidP="00902F47">
      <w:pPr>
        <w:numPr>
          <w:ilvl w:val="0"/>
          <w:numId w:val="2"/>
        </w:numPr>
        <w:jc w:val="both"/>
        <w:rPr>
          <w:rFonts w:ascii="Verdana" w:hAnsi="Verdana"/>
          <w:sz w:val="20"/>
          <w:szCs w:val="20"/>
        </w:rPr>
      </w:pPr>
      <w:r w:rsidRPr="00902F47">
        <w:rPr>
          <w:rFonts w:ascii="Verdana" w:hAnsi="Verdana"/>
          <w:sz w:val="20"/>
          <w:szCs w:val="20"/>
        </w:rPr>
        <w:t>Teniendo en cuenta dichos antecedentes, el Grupo de Defensa Judicial con apoyo de la Dirección Administrativa Logística, interpuso Demanda de Nulidad y Restablecimiento del Derecho, Radicado: 13001-23-33-000-2015-00318-00.</w:t>
      </w:r>
    </w:p>
    <w:p w:rsidR="00902F47" w:rsidRPr="00902F47" w:rsidRDefault="00902F47" w:rsidP="00902F47">
      <w:pPr>
        <w:numPr>
          <w:ilvl w:val="0"/>
          <w:numId w:val="2"/>
        </w:numPr>
        <w:jc w:val="both"/>
        <w:rPr>
          <w:rFonts w:ascii="Verdana" w:hAnsi="Verdana"/>
          <w:sz w:val="20"/>
          <w:szCs w:val="20"/>
        </w:rPr>
      </w:pPr>
      <w:r w:rsidRPr="00902F47">
        <w:rPr>
          <w:rFonts w:ascii="Verdana" w:hAnsi="Verdana"/>
          <w:sz w:val="20"/>
          <w:szCs w:val="20"/>
        </w:rPr>
        <w:t>Mediante Auto 161/15 proferido por el Tribunal Administrativo de Bolívar, se resuelve inadmitir la demanda por falta de estimación de la cuantía. Dicho auto fue respondido, y se presentó la subsanación dentro del término legal conferido, a través de oficio GOBOL-15-024495 (ANEXO 2 – Contenido del CD aportado con el memorial).</w:t>
      </w:r>
    </w:p>
    <w:p w:rsidR="00902F47" w:rsidRPr="00902F47" w:rsidRDefault="00902F47" w:rsidP="00902F47">
      <w:pPr>
        <w:numPr>
          <w:ilvl w:val="0"/>
          <w:numId w:val="2"/>
        </w:numPr>
        <w:jc w:val="both"/>
        <w:rPr>
          <w:rFonts w:ascii="Verdana" w:hAnsi="Verdana"/>
          <w:sz w:val="20"/>
          <w:szCs w:val="20"/>
        </w:rPr>
      </w:pPr>
      <w:r w:rsidRPr="00902F47">
        <w:rPr>
          <w:rFonts w:ascii="Verdana" w:hAnsi="Verdana"/>
          <w:sz w:val="20"/>
          <w:szCs w:val="20"/>
        </w:rPr>
        <w:t>El Auto 0242/15 proferido por el Tribunal Administrativo de Bolívar, por medio del cual se declara la falta de competencia para conocer la demanda, fue recurrido el día 1 de Septiembre / 15 (GOBOL-15-026576). Se encuentra a la espera de resolución.</w:t>
      </w:r>
    </w:p>
    <w:p w:rsidR="00902F47" w:rsidRPr="00902F47" w:rsidRDefault="00902F47" w:rsidP="00902F47">
      <w:pPr>
        <w:jc w:val="both"/>
        <w:rPr>
          <w:rFonts w:ascii="Verdana" w:hAnsi="Verdana"/>
          <w:sz w:val="20"/>
          <w:szCs w:val="20"/>
        </w:rPr>
      </w:pPr>
    </w:p>
    <w:p w:rsidR="00902F47" w:rsidRPr="00902F47" w:rsidRDefault="00902F47" w:rsidP="00902F47">
      <w:pPr>
        <w:jc w:val="both"/>
        <w:rPr>
          <w:rFonts w:ascii="Verdana" w:hAnsi="Verdana"/>
          <w:sz w:val="20"/>
          <w:szCs w:val="20"/>
        </w:rPr>
      </w:pPr>
      <w:r>
        <w:rPr>
          <w:rFonts w:ascii="Verdana" w:hAnsi="Verdana"/>
          <w:sz w:val="20"/>
          <w:szCs w:val="20"/>
        </w:rPr>
        <w:t>Posteriormente l</w:t>
      </w:r>
      <w:r w:rsidRPr="00902F47">
        <w:rPr>
          <w:rFonts w:ascii="Verdana" w:hAnsi="Verdana"/>
          <w:sz w:val="20"/>
          <w:szCs w:val="20"/>
        </w:rPr>
        <w:t>a Dirección Administrativa Logística se percata de que en el oficio EXT-AMC-13-0038076, el cual no fue proyectado por la Dirección, hizo falta la inclusión de los siguientes predios:</w:t>
      </w:r>
    </w:p>
    <w:p w:rsidR="00902F47" w:rsidRPr="00902F47" w:rsidRDefault="00902F47" w:rsidP="00902F47">
      <w:pPr>
        <w:jc w:val="both"/>
        <w:rPr>
          <w:rFonts w:ascii="Verdana" w:hAnsi="Verdana"/>
          <w:sz w:val="20"/>
          <w:szCs w:val="20"/>
        </w:rPr>
      </w:pPr>
    </w:p>
    <w:tbl>
      <w:tblPr>
        <w:tblW w:w="10220" w:type="dxa"/>
        <w:tblCellMar>
          <w:left w:w="70" w:type="dxa"/>
          <w:right w:w="70" w:type="dxa"/>
        </w:tblCellMar>
        <w:tblLook w:val="04A0"/>
      </w:tblPr>
      <w:tblGrid>
        <w:gridCol w:w="2716"/>
        <w:gridCol w:w="3586"/>
        <w:gridCol w:w="3918"/>
      </w:tblGrid>
      <w:tr w:rsidR="00902F47" w:rsidRPr="00902F47" w:rsidTr="00902F47">
        <w:trPr>
          <w:trHeight w:val="600"/>
        </w:trPr>
        <w:tc>
          <w:tcPr>
            <w:tcW w:w="2716" w:type="dxa"/>
            <w:tcBorders>
              <w:top w:val="single" w:sz="4" w:space="0" w:color="auto"/>
              <w:left w:val="single" w:sz="4" w:space="0" w:color="auto"/>
              <w:bottom w:val="single" w:sz="4" w:space="0" w:color="auto"/>
              <w:right w:val="single" w:sz="4" w:space="0" w:color="auto"/>
            </w:tcBorders>
            <w:shd w:val="clear" w:color="000000" w:fill="D6DCE4"/>
            <w:vAlign w:val="center"/>
            <w:hideMark/>
          </w:tcPr>
          <w:p w:rsidR="00902F47" w:rsidRPr="00902F47" w:rsidRDefault="00902F47" w:rsidP="00902F47">
            <w:pPr>
              <w:jc w:val="center"/>
              <w:rPr>
                <w:rFonts w:ascii="Verdana" w:hAnsi="Verdana"/>
                <w:b/>
                <w:bCs/>
                <w:sz w:val="20"/>
                <w:szCs w:val="20"/>
              </w:rPr>
            </w:pPr>
            <w:r w:rsidRPr="00902F47">
              <w:rPr>
                <w:rFonts w:ascii="Verdana" w:hAnsi="Verdana"/>
                <w:b/>
                <w:bCs/>
                <w:sz w:val="20"/>
                <w:szCs w:val="20"/>
              </w:rPr>
              <w:t>REFERENCIA</w:t>
            </w:r>
          </w:p>
        </w:tc>
        <w:tc>
          <w:tcPr>
            <w:tcW w:w="3586" w:type="dxa"/>
            <w:tcBorders>
              <w:top w:val="single" w:sz="4" w:space="0" w:color="auto"/>
              <w:left w:val="nil"/>
              <w:bottom w:val="single" w:sz="4" w:space="0" w:color="auto"/>
              <w:right w:val="single" w:sz="4" w:space="0" w:color="auto"/>
            </w:tcBorders>
            <w:shd w:val="clear" w:color="000000" w:fill="D6DCE4"/>
            <w:vAlign w:val="center"/>
            <w:hideMark/>
          </w:tcPr>
          <w:p w:rsidR="00902F47" w:rsidRPr="00902F47" w:rsidRDefault="00902F47" w:rsidP="00902F47">
            <w:pPr>
              <w:jc w:val="center"/>
              <w:rPr>
                <w:rFonts w:ascii="Verdana" w:hAnsi="Verdana"/>
                <w:b/>
                <w:bCs/>
                <w:sz w:val="20"/>
                <w:szCs w:val="20"/>
              </w:rPr>
            </w:pPr>
            <w:r w:rsidRPr="00902F47">
              <w:rPr>
                <w:rFonts w:ascii="Verdana" w:hAnsi="Verdana"/>
                <w:b/>
                <w:bCs/>
                <w:sz w:val="20"/>
                <w:szCs w:val="20"/>
              </w:rPr>
              <w:t>FMI</w:t>
            </w:r>
          </w:p>
        </w:tc>
        <w:tc>
          <w:tcPr>
            <w:tcW w:w="3918" w:type="dxa"/>
            <w:tcBorders>
              <w:top w:val="single" w:sz="4" w:space="0" w:color="auto"/>
              <w:left w:val="nil"/>
              <w:bottom w:val="single" w:sz="4" w:space="0" w:color="auto"/>
              <w:right w:val="single" w:sz="4" w:space="0" w:color="auto"/>
            </w:tcBorders>
            <w:shd w:val="clear" w:color="000000" w:fill="D6DCE4"/>
            <w:vAlign w:val="center"/>
            <w:hideMark/>
          </w:tcPr>
          <w:p w:rsidR="00902F47" w:rsidRPr="00902F47" w:rsidRDefault="00902F47" w:rsidP="00902F47">
            <w:pPr>
              <w:jc w:val="center"/>
              <w:rPr>
                <w:rFonts w:ascii="Verdana" w:hAnsi="Verdana"/>
                <w:b/>
                <w:bCs/>
                <w:sz w:val="20"/>
                <w:szCs w:val="20"/>
              </w:rPr>
            </w:pPr>
            <w:r w:rsidRPr="00902F47">
              <w:rPr>
                <w:rFonts w:ascii="Verdana" w:hAnsi="Verdana"/>
                <w:b/>
                <w:bCs/>
                <w:sz w:val="20"/>
                <w:szCs w:val="20"/>
              </w:rPr>
              <w:t>DESCRIPCION</w:t>
            </w:r>
          </w:p>
        </w:tc>
      </w:tr>
      <w:tr w:rsidR="00902F47" w:rsidRPr="00902F47" w:rsidTr="00902F47">
        <w:trPr>
          <w:trHeight w:val="1125"/>
        </w:trPr>
        <w:tc>
          <w:tcPr>
            <w:tcW w:w="2716" w:type="dxa"/>
            <w:tcBorders>
              <w:top w:val="nil"/>
              <w:left w:val="single" w:sz="4" w:space="0" w:color="auto"/>
              <w:bottom w:val="single" w:sz="4" w:space="0" w:color="auto"/>
              <w:right w:val="single" w:sz="4" w:space="0" w:color="auto"/>
            </w:tcBorders>
            <w:shd w:val="clear" w:color="auto" w:fill="auto"/>
            <w:vAlign w:val="center"/>
            <w:hideMark/>
          </w:tcPr>
          <w:p w:rsidR="00902F47" w:rsidRPr="00902F47" w:rsidRDefault="00902F47" w:rsidP="00902F47">
            <w:pPr>
              <w:jc w:val="center"/>
              <w:rPr>
                <w:rFonts w:ascii="Verdana" w:hAnsi="Verdana"/>
                <w:sz w:val="20"/>
                <w:szCs w:val="20"/>
              </w:rPr>
            </w:pPr>
            <w:r w:rsidRPr="00902F47">
              <w:rPr>
                <w:rFonts w:ascii="Verdana" w:hAnsi="Verdana"/>
                <w:sz w:val="20"/>
                <w:szCs w:val="20"/>
              </w:rPr>
              <w:t>REF: 10100990024000</w:t>
            </w:r>
          </w:p>
        </w:tc>
        <w:tc>
          <w:tcPr>
            <w:tcW w:w="3586" w:type="dxa"/>
            <w:tcBorders>
              <w:top w:val="nil"/>
              <w:left w:val="nil"/>
              <w:bottom w:val="single" w:sz="4" w:space="0" w:color="auto"/>
              <w:right w:val="single" w:sz="4" w:space="0" w:color="auto"/>
            </w:tcBorders>
            <w:shd w:val="clear" w:color="auto" w:fill="auto"/>
            <w:vAlign w:val="center"/>
            <w:hideMark/>
          </w:tcPr>
          <w:p w:rsidR="00902F47" w:rsidRPr="00902F47" w:rsidRDefault="00902F47" w:rsidP="00902F47">
            <w:pPr>
              <w:jc w:val="center"/>
              <w:rPr>
                <w:rFonts w:ascii="Verdana" w:hAnsi="Verdana"/>
                <w:sz w:val="20"/>
                <w:szCs w:val="20"/>
              </w:rPr>
            </w:pPr>
            <w:r w:rsidRPr="00902F47">
              <w:rPr>
                <w:rFonts w:ascii="Verdana" w:hAnsi="Verdana"/>
                <w:sz w:val="20"/>
                <w:szCs w:val="20"/>
              </w:rPr>
              <w:t>060-30868</w:t>
            </w:r>
          </w:p>
        </w:tc>
        <w:tc>
          <w:tcPr>
            <w:tcW w:w="3918" w:type="dxa"/>
            <w:tcBorders>
              <w:top w:val="nil"/>
              <w:left w:val="nil"/>
              <w:bottom w:val="single" w:sz="4" w:space="0" w:color="auto"/>
              <w:right w:val="single" w:sz="4" w:space="0" w:color="auto"/>
            </w:tcBorders>
            <w:shd w:val="clear" w:color="auto" w:fill="auto"/>
            <w:vAlign w:val="center"/>
            <w:hideMark/>
          </w:tcPr>
          <w:p w:rsidR="00902F47" w:rsidRPr="00902F47" w:rsidRDefault="00902F47" w:rsidP="00902F47">
            <w:pPr>
              <w:jc w:val="center"/>
              <w:rPr>
                <w:rFonts w:ascii="Verdana" w:hAnsi="Verdana"/>
                <w:sz w:val="20"/>
                <w:szCs w:val="20"/>
              </w:rPr>
            </w:pPr>
            <w:r w:rsidRPr="00902F47">
              <w:rPr>
                <w:rFonts w:ascii="Verdana" w:hAnsi="Verdana"/>
                <w:sz w:val="20"/>
                <w:szCs w:val="20"/>
              </w:rPr>
              <w:t>LOTE EDIFICADO - CASA DEL CONSULADO</w:t>
            </w:r>
          </w:p>
        </w:tc>
      </w:tr>
      <w:tr w:rsidR="00902F47" w:rsidRPr="00902F47" w:rsidTr="00902F47">
        <w:trPr>
          <w:trHeight w:val="1140"/>
        </w:trPr>
        <w:tc>
          <w:tcPr>
            <w:tcW w:w="2716" w:type="dxa"/>
            <w:tcBorders>
              <w:top w:val="nil"/>
              <w:left w:val="single" w:sz="4" w:space="0" w:color="auto"/>
              <w:bottom w:val="single" w:sz="4" w:space="0" w:color="auto"/>
              <w:right w:val="single" w:sz="4" w:space="0" w:color="auto"/>
            </w:tcBorders>
            <w:shd w:val="clear" w:color="auto" w:fill="auto"/>
            <w:vAlign w:val="center"/>
            <w:hideMark/>
          </w:tcPr>
          <w:p w:rsidR="00902F47" w:rsidRPr="00902F47" w:rsidRDefault="00902F47" w:rsidP="00902F47">
            <w:pPr>
              <w:jc w:val="center"/>
              <w:rPr>
                <w:rFonts w:ascii="Verdana" w:hAnsi="Verdana"/>
                <w:sz w:val="20"/>
                <w:szCs w:val="20"/>
              </w:rPr>
            </w:pPr>
            <w:r w:rsidRPr="00902F47">
              <w:rPr>
                <w:rFonts w:ascii="Verdana" w:hAnsi="Verdana"/>
                <w:sz w:val="20"/>
                <w:szCs w:val="20"/>
              </w:rPr>
              <w:t>REF: 10200490010000</w:t>
            </w:r>
          </w:p>
        </w:tc>
        <w:tc>
          <w:tcPr>
            <w:tcW w:w="3586" w:type="dxa"/>
            <w:tcBorders>
              <w:top w:val="nil"/>
              <w:left w:val="nil"/>
              <w:bottom w:val="single" w:sz="4" w:space="0" w:color="auto"/>
              <w:right w:val="single" w:sz="4" w:space="0" w:color="auto"/>
            </w:tcBorders>
            <w:shd w:val="clear" w:color="auto" w:fill="auto"/>
            <w:vAlign w:val="center"/>
            <w:hideMark/>
          </w:tcPr>
          <w:p w:rsidR="00902F47" w:rsidRPr="00902F47" w:rsidRDefault="00902F47" w:rsidP="00902F47">
            <w:pPr>
              <w:jc w:val="center"/>
              <w:rPr>
                <w:rFonts w:ascii="Verdana" w:hAnsi="Verdana"/>
                <w:sz w:val="20"/>
                <w:szCs w:val="20"/>
              </w:rPr>
            </w:pPr>
            <w:r w:rsidRPr="00902F47">
              <w:rPr>
                <w:rFonts w:ascii="Verdana" w:hAnsi="Verdana"/>
                <w:sz w:val="20"/>
                <w:szCs w:val="20"/>
              </w:rPr>
              <w:t>060-151995</w:t>
            </w:r>
          </w:p>
        </w:tc>
        <w:tc>
          <w:tcPr>
            <w:tcW w:w="3918" w:type="dxa"/>
            <w:tcBorders>
              <w:top w:val="nil"/>
              <w:left w:val="nil"/>
              <w:bottom w:val="single" w:sz="4" w:space="0" w:color="auto"/>
              <w:right w:val="single" w:sz="4" w:space="0" w:color="auto"/>
            </w:tcBorders>
            <w:shd w:val="clear" w:color="auto" w:fill="auto"/>
            <w:vAlign w:val="center"/>
            <w:hideMark/>
          </w:tcPr>
          <w:p w:rsidR="00902F47" w:rsidRPr="00902F47" w:rsidRDefault="00902F47" w:rsidP="00902F47">
            <w:pPr>
              <w:jc w:val="center"/>
              <w:rPr>
                <w:rFonts w:ascii="Verdana" w:hAnsi="Verdana"/>
                <w:sz w:val="20"/>
                <w:szCs w:val="20"/>
              </w:rPr>
            </w:pPr>
            <w:r w:rsidRPr="00902F47">
              <w:rPr>
                <w:rFonts w:ascii="Verdana" w:hAnsi="Verdana"/>
                <w:sz w:val="20"/>
                <w:szCs w:val="20"/>
              </w:rPr>
              <w:t>CASA ANTIGUO COLEGIO COOPERATIVO</w:t>
            </w:r>
          </w:p>
        </w:tc>
      </w:tr>
      <w:tr w:rsidR="00902F47" w:rsidRPr="00902F47" w:rsidTr="00902F47">
        <w:trPr>
          <w:trHeight w:val="630"/>
        </w:trPr>
        <w:tc>
          <w:tcPr>
            <w:tcW w:w="2716" w:type="dxa"/>
            <w:tcBorders>
              <w:top w:val="nil"/>
              <w:left w:val="single" w:sz="4" w:space="0" w:color="auto"/>
              <w:bottom w:val="single" w:sz="4" w:space="0" w:color="auto"/>
              <w:right w:val="single" w:sz="4" w:space="0" w:color="auto"/>
            </w:tcBorders>
            <w:shd w:val="clear" w:color="auto" w:fill="auto"/>
            <w:vAlign w:val="center"/>
            <w:hideMark/>
          </w:tcPr>
          <w:p w:rsidR="00902F47" w:rsidRPr="00902F47" w:rsidRDefault="00902F47" w:rsidP="00902F47">
            <w:pPr>
              <w:jc w:val="center"/>
              <w:rPr>
                <w:rFonts w:ascii="Verdana" w:hAnsi="Verdana"/>
                <w:sz w:val="20"/>
                <w:szCs w:val="20"/>
              </w:rPr>
            </w:pPr>
            <w:r w:rsidRPr="00902F47">
              <w:rPr>
                <w:rFonts w:ascii="Verdana" w:hAnsi="Verdana"/>
                <w:sz w:val="20"/>
                <w:szCs w:val="20"/>
              </w:rPr>
              <w:t>REF: 000200010309000</w:t>
            </w:r>
          </w:p>
        </w:tc>
        <w:tc>
          <w:tcPr>
            <w:tcW w:w="3586" w:type="dxa"/>
            <w:tcBorders>
              <w:top w:val="nil"/>
              <w:left w:val="nil"/>
              <w:bottom w:val="single" w:sz="4" w:space="0" w:color="auto"/>
              <w:right w:val="single" w:sz="4" w:space="0" w:color="auto"/>
            </w:tcBorders>
            <w:shd w:val="clear" w:color="auto" w:fill="auto"/>
            <w:vAlign w:val="center"/>
            <w:hideMark/>
          </w:tcPr>
          <w:p w:rsidR="00902F47" w:rsidRPr="00902F47" w:rsidRDefault="00902F47" w:rsidP="00902F47">
            <w:pPr>
              <w:jc w:val="center"/>
              <w:rPr>
                <w:rFonts w:ascii="Verdana" w:hAnsi="Verdana"/>
                <w:sz w:val="20"/>
                <w:szCs w:val="20"/>
              </w:rPr>
            </w:pPr>
            <w:r w:rsidRPr="00902F47">
              <w:rPr>
                <w:rFonts w:ascii="Verdana" w:hAnsi="Verdana"/>
                <w:sz w:val="20"/>
                <w:szCs w:val="20"/>
              </w:rPr>
              <w:t>060-184276</w:t>
            </w:r>
          </w:p>
        </w:tc>
        <w:tc>
          <w:tcPr>
            <w:tcW w:w="3918" w:type="dxa"/>
            <w:tcBorders>
              <w:top w:val="nil"/>
              <w:left w:val="nil"/>
              <w:bottom w:val="single" w:sz="4" w:space="0" w:color="auto"/>
              <w:right w:val="single" w:sz="4" w:space="0" w:color="auto"/>
            </w:tcBorders>
            <w:shd w:val="clear" w:color="auto" w:fill="auto"/>
            <w:vAlign w:val="center"/>
            <w:hideMark/>
          </w:tcPr>
          <w:p w:rsidR="00902F47" w:rsidRPr="00902F47" w:rsidRDefault="00902F47" w:rsidP="00902F47">
            <w:pPr>
              <w:jc w:val="center"/>
              <w:rPr>
                <w:rFonts w:ascii="Verdana" w:hAnsi="Verdana"/>
                <w:sz w:val="20"/>
                <w:szCs w:val="20"/>
              </w:rPr>
            </w:pPr>
            <w:r w:rsidRPr="00902F47">
              <w:rPr>
                <w:rFonts w:ascii="Verdana" w:hAnsi="Verdana"/>
                <w:sz w:val="20"/>
                <w:szCs w:val="20"/>
              </w:rPr>
              <w:t>LOTE 1 COLISEO DE FERIAS</w:t>
            </w:r>
          </w:p>
        </w:tc>
      </w:tr>
      <w:tr w:rsidR="00902F47" w:rsidRPr="00902F47" w:rsidTr="00902F47">
        <w:trPr>
          <w:trHeight w:val="645"/>
        </w:trPr>
        <w:tc>
          <w:tcPr>
            <w:tcW w:w="2716" w:type="dxa"/>
            <w:tcBorders>
              <w:top w:val="nil"/>
              <w:left w:val="single" w:sz="4" w:space="0" w:color="auto"/>
              <w:bottom w:val="single" w:sz="4" w:space="0" w:color="auto"/>
              <w:right w:val="single" w:sz="4" w:space="0" w:color="auto"/>
            </w:tcBorders>
            <w:shd w:val="clear" w:color="auto" w:fill="auto"/>
            <w:vAlign w:val="center"/>
            <w:hideMark/>
          </w:tcPr>
          <w:p w:rsidR="00902F47" w:rsidRPr="00902F47" w:rsidRDefault="00902F47" w:rsidP="00902F47">
            <w:pPr>
              <w:jc w:val="center"/>
              <w:rPr>
                <w:rFonts w:ascii="Verdana" w:hAnsi="Verdana"/>
                <w:sz w:val="20"/>
                <w:szCs w:val="20"/>
              </w:rPr>
            </w:pPr>
            <w:r w:rsidRPr="00902F47">
              <w:rPr>
                <w:rFonts w:ascii="Verdana" w:hAnsi="Verdana"/>
                <w:sz w:val="20"/>
                <w:szCs w:val="20"/>
              </w:rPr>
              <w:t>REF: 010101240004901</w:t>
            </w:r>
          </w:p>
        </w:tc>
        <w:tc>
          <w:tcPr>
            <w:tcW w:w="3586" w:type="dxa"/>
            <w:tcBorders>
              <w:top w:val="nil"/>
              <w:left w:val="nil"/>
              <w:bottom w:val="single" w:sz="4" w:space="0" w:color="auto"/>
              <w:right w:val="single" w:sz="4" w:space="0" w:color="auto"/>
            </w:tcBorders>
            <w:shd w:val="clear" w:color="auto" w:fill="auto"/>
            <w:vAlign w:val="center"/>
            <w:hideMark/>
          </w:tcPr>
          <w:p w:rsidR="00902F47" w:rsidRPr="00902F47" w:rsidRDefault="00902F47" w:rsidP="00902F47">
            <w:pPr>
              <w:jc w:val="center"/>
              <w:rPr>
                <w:rFonts w:ascii="Verdana" w:hAnsi="Verdana"/>
                <w:sz w:val="20"/>
                <w:szCs w:val="20"/>
              </w:rPr>
            </w:pPr>
            <w:r w:rsidRPr="00902F47">
              <w:rPr>
                <w:rFonts w:ascii="Verdana" w:hAnsi="Verdana"/>
                <w:sz w:val="20"/>
                <w:szCs w:val="20"/>
              </w:rPr>
              <w:t>060-6887</w:t>
            </w:r>
          </w:p>
        </w:tc>
        <w:tc>
          <w:tcPr>
            <w:tcW w:w="3918" w:type="dxa"/>
            <w:tcBorders>
              <w:top w:val="nil"/>
              <w:left w:val="nil"/>
              <w:bottom w:val="single" w:sz="4" w:space="0" w:color="auto"/>
              <w:right w:val="single" w:sz="4" w:space="0" w:color="auto"/>
            </w:tcBorders>
            <w:shd w:val="clear" w:color="auto" w:fill="auto"/>
            <w:vAlign w:val="center"/>
            <w:hideMark/>
          </w:tcPr>
          <w:p w:rsidR="00902F47" w:rsidRPr="00902F47" w:rsidRDefault="00902F47" w:rsidP="00902F47">
            <w:pPr>
              <w:jc w:val="center"/>
              <w:rPr>
                <w:rFonts w:ascii="Verdana" w:hAnsi="Verdana"/>
                <w:sz w:val="20"/>
                <w:szCs w:val="20"/>
              </w:rPr>
            </w:pPr>
            <w:r w:rsidRPr="00902F47">
              <w:rPr>
                <w:rFonts w:ascii="Verdana" w:hAnsi="Verdana"/>
                <w:sz w:val="20"/>
                <w:szCs w:val="20"/>
              </w:rPr>
              <w:t>EDIFICIO GEDEON</w:t>
            </w:r>
          </w:p>
        </w:tc>
      </w:tr>
      <w:tr w:rsidR="00902F47" w:rsidRPr="00902F47" w:rsidTr="00902F47">
        <w:trPr>
          <w:trHeight w:val="1455"/>
        </w:trPr>
        <w:tc>
          <w:tcPr>
            <w:tcW w:w="2716" w:type="dxa"/>
            <w:tcBorders>
              <w:top w:val="nil"/>
              <w:left w:val="single" w:sz="4" w:space="0" w:color="auto"/>
              <w:bottom w:val="single" w:sz="4" w:space="0" w:color="auto"/>
              <w:right w:val="single" w:sz="4" w:space="0" w:color="auto"/>
            </w:tcBorders>
            <w:shd w:val="clear" w:color="auto" w:fill="auto"/>
            <w:vAlign w:val="center"/>
            <w:hideMark/>
          </w:tcPr>
          <w:p w:rsidR="00902F47" w:rsidRPr="00902F47" w:rsidRDefault="00902F47" w:rsidP="00902F47">
            <w:pPr>
              <w:jc w:val="center"/>
              <w:rPr>
                <w:rFonts w:ascii="Verdana" w:hAnsi="Verdana"/>
                <w:sz w:val="20"/>
                <w:szCs w:val="20"/>
              </w:rPr>
            </w:pPr>
            <w:r w:rsidRPr="00902F47">
              <w:rPr>
                <w:rFonts w:ascii="Verdana" w:hAnsi="Verdana"/>
                <w:sz w:val="20"/>
                <w:szCs w:val="20"/>
              </w:rPr>
              <w:t>REF: 010101180055903</w:t>
            </w:r>
          </w:p>
        </w:tc>
        <w:tc>
          <w:tcPr>
            <w:tcW w:w="3586" w:type="dxa"/>
            <w:tcBorders>
              <w:top w:val="nil"/>
              <w:left w:val="nil"/>
              <w:bottom w:val="single" w:sz="4" w:space="0" w:color="auto"/>
              <w:right w:val="single" w:sz="4" w:space="0" w:color="auto"/>
            </w:tcBorders>
            <w:shd w:val="clear" w:color="auto" w:fill="auto"/>
            <w:vAlign w:val="center"/>
            <w:hideMark/>
          </w:tcPr>
          <w:p w:rsidR="00902F47" w:rsidRPr="00902F47" w:rsidRDefault="00902F47" w:rsidP="00902F47">
            <w:pPr>
              <w:jc w:val="center"/>
              <w:rPr>
                <w:rFonts w:ascii="Verdana" w:hAnsi="Verdana"/>
                <w:sz w:val="20"/>
                <w:szCs w:val="20"/>
              </w:rPr>
            </w:pPr>
            <w:r w:rsidRPr="00902F47">
              <w:rPr>
                <w:rFonts w:ascii="Verdana" w:hAnsi="Verdana"/>
                <w:sz w:val="20"/>
                <w:szCs w:val="20"/>
              </w:rPr>
              <w:t>060-7484, 060-7482, 060-7480, 060-7475, 060-7485, 060-7483, 060-7481</w:t>
            </w:r>
          </w:p>
        </w:tc>
        <w:tc>
          <w:tcPr>
            <w:tcW w:w="3918" w:type="dxa"/>
            <w:tcBorders>
              <w:top w:val="nil"/>
              <w:left w:val="nil"/>
              <w:bottom w:val="single" w:sz="4" w:space="0" w:color="auto"/>
              <w:right w:val="single" w:sz="4" w:space="0" w:color="auto"/>
            </w:tcBorders>
            <w:shd w:val="clear" w:color="auto" w:fill="auto"/>
            <w:vAlign w:val="center"/>
            <w:hideMark/>
          </w:tcPr>
          <w:p w:rsidR="00902F47" w:rsidRPr="00902F47" w:rsidRDefault="00902F47" w:rsidP="00902F47">
            <w:pPr>
              <w:jc w:val="center"/>
              <w:rPr>
                <w:rFonts w:ascii="Verdana" w:hAnsi="Verdana"/>
                <w:sz w:val="20"/>
                <w:szCs w:val="20"/>
              </w:rPr>
            </w:pPr>
            <w:r w:rsidRPr="00902F47">
              <w:rPr>
                <w:rFonts w:ascii="Verdana" w:hAnsi="Verdana"/>
                <w:sz w:val="20"/>
                <w:szCs w:val="20"/>
              </w:rPr>
              <w:t>EDIFICIO MARISCAL</w:t>
            </w:r>
          </w:p>
        </w:tc>
      </w:tr>
    </w:tbl>
    <w:p w:rsidR="00902F47" w:rsidRPr="00902F47" w:rsidRDefault="00902F47" w:rsidP="00902F47">
      <w:pPr>
        <w:jc w:val="both"/>
        <w:rPr>
          <w:rFonts w:ascii="Verdana" w:hAnsi="Verdana"/>
          <w:sz w:val="20"/>
          <w:szCs w:val="20"/>
        </w:rPr>
      </w:pPr>
    </w:p>
    <w:p w:rsidR="00902F47" w:rsidRPr="00902F47" w:rsidRDefault="00902F47" w:rsidP="00902F47">
      <w:pPr>
        <w:jc w:val="both"/>
        <w:rPr>
          <w:rFonts w:ascii="Verdana" w:hAnsi="Verdana"/>
          <w:sz w:val="20"/>
          <w:szCs w:val="20"/>
        </w:rPr>
      </w:pPr>
    </w:p>
    <w:p w:rsidR="00902F47" w:rsidRPr="00902F47" w:rsidRDefault="00902F47" w:rsidP="00902F47">
      <w:pPr>
        <w:jc w:val="both"/>
        <w:rPr>
          <w:rFonts w:ascii="Verdana" w:hAnsi="Verdana"/>
          <w:sz w:val="20"/>
          <w:szCs w:val="20"/>
        </w:rPr>
      </w:pPr>
      <w:r w:rsidRPr="00902F47">
        <w:rPr>
          <w:rFonts w:ascii="Verdana" w:hAnsi="Verdana"/>
          <w:sz w:val="20"/>
          <w:szCs w:val="20"/>
        </w:rPr>
        <w:lastRenderedPageBreak/>
        <w:t xml:space="preserve">En miras de subsanar dicha error involuntario, se solicitó a través de Defensa Judicial, la prescripción de las vigencias </w:t>
      </w:r>
      <w:r w:rsidRPr="00902F47">
        <w:rPr>
          <w:rFonts w:ascii="Verdana" w:hAnsi="Verdana"/>
          <w:b/>
          <w:sz w:val="20"/>
          <w:szCs w:val="20"/>
          <w:u w:val="single"/>
        </w:rPr>
        <w:t>2009 y anteriores</w:t>
      </w:r>
      <w:r w:rsidRPr="00902F47">
        <w:rPr>
          <w:rFonts w:ascii="Verdana" w:hAnsi="Verdana"/>
          <w:sz w:val="20"/>
          <w:szCs w:val="20"/>
        </w:rPr>
        <w:t xml:space="preserve"> de las referencias faltantes, mediante oficio GOBOL-15-009695 del 27 de Abril / 15.</w:t>
      </w:r>
    </w:p>
    <w:p w:rsidR="00902F47" w:rsidRPr="00902F47" w:rsidRDefault="00902F47" w:rsidP="00902F47">
      <w:pPr>
        <w:jc w:val="both"/>
        <w:rPr>
          <w:rFonts w:ascii="Verdana" w:hAnsi="Verdana"/>
          <w:sz w:val="20"/>
          <w:szCs w:val="20"/>
          <w:lang w:val="es-ES"/>
        </w:rPr>
      </w:pPr>
      <w:r w:rsidRPr="00902F47">
        <w:rPr>
          <w:rFonts w:ascii="Verdana" w:hAnsi="Verdana"/>
          <w:sz w:val="20"/>
          <w:szCs w:val="20"/>
        </w:rPr>
        <w:t xml:space="preserve">La Secretaría de Hacienda Distrital, mediante Resolución AMC-RES-2316-2015 del 14 de Julio/15, resuelve denegar lo solicitado, fundamentándose en el argumento de que </w:t>
      </w:r>
      <w:r w:rsidRPr="00902F47">
        <w:rPr>
          <w:rFonts w:ascii="Verdana" w:hAnsi="Verdana"/>
          <w:sz w:val="20"/>
          <w:szCs w:val="20"/>
          <w:lang w:val="es-ES"/>
        </w:rPr>
        <w:t xml:space="preserve">respecto de las vigencias objeto solicitud, el Distrito liquidó oficialmente,  y dichos actos de determinación fueron debidamente notificados, y así se evitó la prescripción de la acción de cobro. </w:t>
      </w:r>
    </w:p>
    <w:p w:rsidR="00902F47" w:rsidRPr="00902F47" w:rsidRDefault="00902F47" w:rsidP="00902F47">
      <w:pPr>
        <w:jc w:val="both"/>
        <w:rPr>
          <w:rFonts w:ascii="Verdana" w:hAnsi="Verdana"/>
          <w:sz w:val="20"/>
          <w:szCs w:val="20"/>
        </w:rPr>
      </w:pPr>
      <w:r w:rsidRPr="00902F47">
        <w:rPr>
          <w:rFonts w:ascii="Verdana" w:hAnsi="Verdana"/>
          <w:sz w:val="20"/>
          <w:szCs w:val="20"/>
          <w:lang w:val="es-ES"/>
        </w:rPr>
        <w:t>El día 5 de octubre del 2015, estando dentro del término legal conferido, la Dirección Administrativa Logística, remite vía e-mail el proyecto de Recurso de Reconsideración, debidamente argumentado, para la firma y radicación por parte de la oficina de Defensa Judicial. Sin embargo, por un error en el trámite de radicación y mensajería, dicha dependencia no pudo lograr la radicación del recurso y éste se presentó extemporáneamente. Se tomó la determinación de solicitar nuevamente las prescripciones e incluir en dicha solicitud, los argumentos esbozados en el Recurso de Reconsideración.</w:t>
      </w:r>
    </w:p>
    <w:p w:rsidR="00902F47" w:rsidRDefault="00902F47" w:rsidP="00750A17">
      <w:pPr>
        <w:jc w:val="both"/>
        <w:rPr>
          <w:rFonts w:ascii="Verdana" w:hAnsi="Verdana"/>
          <w:sz w:val="20"/>
          <w:szCs w:val="20"/>
        </w:rPr>
      </w:pPr>
    </w:p>
    <w:p w:rsidR="00902F47" w:rsidRDefault="00902F47" w:rsidP="00902F47">
      <w:pPr>
        <w:jc w:val="center"/>
        <w:rPr>
          <w:rFonts w:ascii="Verdana" w:hAnsi="Verdana"/>
          <w:sz w:val="20"/>
          <w:szCs w:val="20"/>
        </w:rPr>
      </w:pPr>
      <w:r w:rsidRPr="00902F47">
        <w:rPr>
          <w:rFonts w:ascii="Verdana" w:hAnsi="Verdana"/>
          <w:b/>
          <w:sz w:val="20"/>
          <w:szCs w:val="20"/>
        </w:rPr>
        <w:t>RECOMENDACIONES</w:t>
      </w:r>
    </w:p>
    <w:p w:rsidR="00902F47" w:rsidRDefault="00902F47" w:rsidP="00750A17">
      <w:pPr>
        <w:jc w:val="both"/>
        <w:rPr>
          <w:rFonts w:ascii="Verdana" w:hAnsi="Verdana"/>
          <w:sz w:val="20"/>
          <w:szCs w:val="20"/>
        </w:rPr>
      </w:pPr>
    </w:p>
    <w:p w:rsidR="00750A17" w:rsidRDefault="00750A17" w:rsidP="00750A17">
      <w:pPr>
        <w:jc w:val="both"/>
        <w:rPr>
          <w:rFonts w:ascii="Verdana" w:hAnsi="Verdana"/>
          <w:sz w:val="20"/>
          <w:szCs w:val="20"/>
        </w:rPr>
      </w:pPr>
      <w:r w:rsidRPr="008F7DEE">
        <w:rPr>
          <w:rFonts w:ascii="Verdana" w:hAnsi="Verdana"/>
          <w:sz w:val="20"/>
          <w:szCs w:val="20"/>
        </w:rPr>
        <w:t xml:space="preserve">En atención a </w:t>
      </w:r>
      <w:r>
        <w:rPr>
          <w:rFonts w:ascii="Verdana" w:hAnsi="Verdana"/>
          <w:sz w:val="20"/>
          <w:szCs w:val="20"/>
        </w:rPr>
        <w:t xml:space="preserve">necesidad de cancelar el monto adeudado al Distrito de Cartagena de Indias, el cual asciende a </w:t>
      </w:r>
      <w:r w:rsidR="00AC341E">
        <w:rPr>
          <w:rFonts w:ascii="Verdana" w:hAnsi="Verdana"/>
          <w:sz w:val="20"/>
          <w:szCs w:val="20"/>
        </w:rPr>
        <w:t>$</w:t>
      </w:r>
      <w:r>
        <w:rPr>
          <w:rFonts w:ascii="Verdana" w:hAnsi="Verdana"/>
          <w:sz w:val="20"/>
          <w:szCs w:val="20"/>
        </w:rPr>
        <w:t>20.000.000.000</w:t>
      </w:r>
      <w:proofErr w:type="gramStart"/>
      <w:r w:rsidR="00AC341E">
        <w:rPr>
          <w:rFonts w:ascii="Verdana" w:hAnsi="Verdana"/>
          <w:sz w:val="20"/>
          <w:szCs w:val="20"/>
        </w:rPr>
        <w:t>,oo</w:t>
      </w:r>
      <w:proofErr w:type="gramEnd"/>
      <w:r>
        <w:rPr>
          <w:rFonts w:ascii="Verdana" w:hAnsi="Verdana"/>
          <w:sz w:val="20"/>
          <w:szCs w:val="20"/>
        </w:rPr>
        <w:t>, es necesario:</w:t>
      </w:r>
    </w:p>
    <w:p w:rsidR="00750A17" w:rsidRDefault="00750A17" w:rsidP="00750A17">
      <w:pPr>
        <w:jc w:val="both"/>
        <w:rPr>
          <w:rFonts w:ascii="Verdana" w:hAnsi="Verdana"/>
          <w:sz w:val="20"/>
          <w:szCs w:val="20"/>
        </w:rPr>
      </w:pPr>
    </w:p>
    <w:p w:rsidR="00DC633D" w:rsidRDefault="00750A17" w:rsidP="00DC633D">
      <w:pPr>
        <w:pStyle w:val="Prrafodelista"/>
        <w:numPr>
          <w:ilvl w:val="0"/>
          <w:numId w:val="1"/>
        </w:numPr>
        <w:jc w:val="both"/>
        <w:rPr>
          <w:rFonts w:ascii="Verdana" w:hAnsi="Verdana"/>
          <w:sz w:val="20"/>
          <w:szCs w:val="20"/>
        </w:rPr>
      </w:pPr>
      <w:r>
        <w:rPr>
          <w:rFonts w:ascii="Verdana" w:hAnsi="Verdana"/>
          <w:sz w:val="20"/>
          <w:szCs w:val="20"/>
        </w:rPr>
        <w:t>Cancelar las anualidades 2009 a 2015, toda vez que sobre éstas no se solicitó prescripción de la deuda por vencimiento de la acción de cobro</w:t>
      </w:r>
      <w:r>
        <w:rPr>
          <w:rFonts w:ascii="Verdana" w:hAnsi="Verdana"/>
          <w:sz w:val="20"/>
          <w:szCs w:val="20"/>
          <w:vertAlign w:val="superscript"/>
        </w:rPr>
        <w:t>1</w:t>
      </w:r>
      <w:r w:rsidR="00AC341E">
        <w:rPr>
          <w:rFonts w:ascii="Verdana" w:hAnsi="Verdana"/>
          <w:sz w:val="20"/>
          <w:szCs w:val="20"/>
        </w:rPr>
        <w:t xml:space="preserve">, o en su defecto celebrar contratos de dación en pago de bienes inmuebles que estén siendo usados por el Distrito </w:t>
      </w:r>
      <w:r w:rsidR="00DC633D">
        <w:rPr>
          <w:rFonts w:ascii="Verdana" w:hAnsi="Verdana"/>
          <w:sz w:val="20"/>
          <w:szCs w:val="20"/>
        </w:rPr>
        <w:t>(por ser propietarios de la razón social) para que no siga recayendo sobre el Departamento la responsabilidad de cancelar el mencionado tributo.</w:t>
      </w:r>
      <w:r w:rsidR="00AC341E">
        <w:rPr>
          <w:rFonts w:ascii="Verdana" w:hAnsi="Verdana"/>
          <w:sz w:val="20"/>
          <w:szCs w:val="20"/>
        </w:rPr>
        <w:t xml:space="preserve"> </w:t>
      </w:r>
    </w:p>
    <w:p w:rsidR="00902F47" w:rsidRDefault="00902F47" w:rsidP="00902F47">
      <w:pPr>
        <w:pStyle w:val="Prrafodelista"/>
        <w:jc w:val="both"/>
        <w:rPr>
          <w:rFonts w:ascii="Verdana" w:hAnsi="Verdana"/>
          <w:sz w:val="20"/>
          <w:szCs w:val="20"/>
        </w:rPr>
      </w:pPr>
    </w:p>
    <w:p w:rsidR="00DC633D" w:rsidRPr="00DC633D" w:rsidRDefault="00902F47" w:rsidP="00DC633D">
      <w:pPr>
        <w:pStyle w:val="Prrafodelista"/>
        <w:numPr>
          <w:ilvl w:val="0"/>
          <w:numId w:val="1"/>
        </w:numPr>
        <w:jc w:val="both"/>
        <w:rPr>
          <w:rFonts w:ascii="Verdana" w:hAnsi="Verdana"/>
          <w:sz w:val="20"/>
          <w:szCs w:val="20"/>
        </w:rPr>
      </w:pPr>
      <w:r>
        <w:rPr>
          <w:rFonts w:ascii="Verdana" w:hAnsi="Verdana"/>
          <w:sz w:val="20"/>
          <w:szCs w:val="20"/>
        </w:rPr>
        <w:t xml:space="preserve">Constante vigilancia e impulso de la demanda en curso con radicado 2015-318, ubicada en el </w:t>
      </w:r>
      <w:r w:rsidRPr="00902F47">
        <w:rPr>
          <w:rFonts w:ascii="Verdana" w:hAnsi="Verdana"/>
          <w:sz w:val="20"/>
          <w:szCs w:val="20"/>
        </w:rPr>
        <w:t>Administrativo de Bolíva</w:t>
      </w:r>
      <w:r w:rsidR="00AC5D98">
        <w:rPr>
          <w:rFonts w:ascii="Verdana" w:hAnsi="Verdana"/>
          <w:sz w:val="20"/>
          <w:szCs w:val="20"/>
        </w:rPr>
        <w:t xml:space="preserve">r, despacho del Magistrado </w:t>
      </w:r>
      <w:r w:rsidR="00AC5D98">
        <w:rPr>
          <w:rFonts w:ascii="Verdana" w:hAnsi="Verdana"/>
          <w:bCs/>
          <w:sz w:val="20"/>
          <w:szCs w:val="20"/>
        </w:rPr>
        <w:t>Dr.</w:t>
      </w:r>
      <w:r w:rsidR="00AC5D98" w:rsidRPr="00AC5D98">
        <w:rPr>
          <w:rFonts w:ascii="Verdana" w:hAnsi="Verdana"/>
          <w:bCs/>
          <w:sz w:val="20"/>
          <w:szCs w:val="20"/>
        </w:rPr>
        <w:t xml:space="preserve"> </w:t>
      </w:r>
      <w:r w:rsidR="00AC5D98">
        <w:rPr>
          <w:rFonts w:ascii="Verdana" w:hAnsi="Verdana"/>
          <w:bCs/>
          <w:sz w:val="20"/>
          <w:szCs w:val="20"/>
        </w:rPr>
        <w:t>Jorge El</w:t>
      </w:r>
      <w:r w:rsidR="00AC5D98" w:rsidRPr="00AC5D98">
        <w:rPr>
          <w:rFonts w:ascii="Verdana" w:hAnsi="Verdana"/>
          <w:bCs/>
          <w:sz w:val="20"/>
          <w:szCs w:val="20"/>
        </w:rPr>
        <w:t xml:space="preserve">iecer </w:t>
      </w:r>
      <w:r w:rsidR="00AC5D98">
        <w:rPr>
          <w:rFonts w:ascii="Verdana" w:hAnsi="Verdana"/>
          <w:bCs/>
          <w:sz w:val="20"/>
          <w:szCs w:val="20"/>
        </w:rPr>
        <w:t>Fandiño Ga</w:t>
      </w:r>
      <w:r w:rsidR="00AC5D98" w:rsidRPr="00AC5D98">
        <w:rPr>
          <w:rFonts w:ascii="Verdana" w:hAnsi="Verdana"/>
          <w:bCs/>
          <w:sz w:val="20"/>
          <w:szCs w:val="20"/>
        </w:rPr>
        <w:t>llo</w:t>
      </w:r>
      <w:r w:rsidR="00AC5D98" w:rsidRPr="00AC5D98">
        <w:rPr>
          <w:rFonts w:ascii="Verdana" w:hAnsi="Verdana"/>
          <w:sz w:val="20"/>
          <w:szCs w:val="20"/>
        </w:rPr>
        <w:t>.</w:t>
      </w:r>
    </w:p>
    <w:p w:rsidR="00DC633D" w:rsidRDefault="00DC633D" w:rsidP="00DC633D">
      <w:pPr>
        <w:pStyle w:val="Prrafodelista"/>
        <w:jc w:val="both"/>
        <w:rPr>
          <w:rFonts w:ascii="Verdana" w:hAnsi="Verdana"/>
          <w:sz w:val="20"/>
          <w:szCs w:val="20"/>
        </w:rPr>
      </w:pPr>
    </w:p>
    <w:p w:rsidR="00DC633D" w:rsidRPr="00902F47" w:rsidRDefault="00DC633D" w:rsidP="00902F47">
      <w:pPr>
        <w:pStyle w:val="Prrafodelista"/>
        <w:numPr>
          <w:ilvl w:val="0"/>
          <w:numId w:val="1"/>
        </w:numPr>
        <w:jc w:val="both"/>
        <w:rPr>
          <w:rFonts w:ascii="Verdana" w:hAnsi="Verdana"/>
          <w:sz w:val="20"/>
          <w:szCs w:val="20"/>
        </w:rPr>
      </w:pPr>
      <w:r>
        <w:rPr>
          <w:rFonts w:ascii="Verdana" w:hAnsi="Verdana"/>
          <w:sz w:val="20"/>
          <w:szCs w:val="20"/>
        </w:rPr>
        <w:t xml:space="preserve">Igualmente estudiar la viabilidad de celebrar convenio de pago para que sea procedente una exoneración de los bienes BIC del pago del IPU, de acuerdo al </w:t>
      </w:r>
      <w:r w:rsidR="00750A17" w:rsidRPr="00750A17">
        <w:rPr>
          <w:rFonts w:ascii="Verdana" w:hAnsi="Verdana"/>
          <w:sz w:val="20"/>
          <w:szCs w:val="20"/>
        </w:rPr>
        <w:t xml:space="preserve">Art. 73, literal c, </w:t>
      </w:r>
      <w:r>
        <w:rPr>
          <w:rFonts w:ascii="Verdana" w:hAnsi="Verdana"/>
          <w:sz w:val="20"/>
          <w:szCs w:val="20"/>
        </w:rPr>
        <w:t>del Acuerdo 041 del 2006.</w:t>
      </w:r>
    </w:p>
    <w:p w:rsidR="00DC633D" w:rsidRDefault="00DC633D" w:rsidP="00750A17">
      <w:pPr>
        <w:spacing w:line="240" w:lineRule="auto"/>
        <w:jc w:val="both"/>
        <w:rPr>
          <w:rFonts w:ascii="Verdana" w:hAnsi="Verdana"/>
          <w:sz w:val="20"/>
          <w:szCs w:val="20"/>
        </w:rPr>
      </w:pPr>
    </w:p>
    <w:p w:rsidR="00750A17" w:rsidRDefault="00750A17" w:rsidP="00750A17">
      <w:pPr>
        <w:spacing w:line="240" w:lineRule="auto"/>
        <w:jc w:val="both"/>
        <w:rPr>
          <w:rFonts w:ascii="Verdana" w:eastAsia="Times New Roman" w:hAnsi="Verdana" w:cs="Calibri"/>
          <w:color w:val="000000"/>
          <w:sz w:val="20"/>
          <w:szCs w:val="20"/>
          <w:lang w:eastAsia="es-CO"/>
        </w:rPr>
      </w:pPr>
      <w:r w:rsidRPr="007B1BF5">
        <w:rPr>
          <w:rFonts w:ascii="Verdana" w:eastAsia="Times New Roman" w:hAnsi="Verdana" w:cs="Calibri"/>
          <w:color w:val="000000"/>
          <w:sz w:val="20"/>
          <w:szCs w:val="20"/>
          <w:lang w:eastAsia="es-CO"/>
        </w:rPr>
        <w:t>Atentamente,</w:t>
      </w:r>
    </w:p>
    <w:p w:rsidR="00750A17" w:rsidRDefault="00750A17" w:rsidP="00750A17">
      <w:pPr>
        <w:spacing w:line="240" w:lineRule="auto"/>
        <w:jc w:val="both"/>
        <w:rPr>
          <w:rFonts w:ascii="Verdana" w:eastAsia="Times New Roman" w:hAnsi="Verdana" w:cs="Calibri"/>
          <w:color w:val="000000"/>
          <w:sz w:val="20"/>
          <w:szCs w:val="20"/>
          <w:lang w:eastAsia="es-CO"/>
        </w:rPr>
      </w:pPr>
    </w:p>
    <w:p w:rsidR="00750A17" w:rsidRPr="007B1BF5" w:rsidRDefault="00750A17" w:rsidP="00750A17">
      <w:pPr>
        <w:spacing w:line="240" w:lineRule="auto"/>
        <w:jc w:val="both"/>
        <w:rPr>
          <w:rFonts w:ascii="Verdana" w:eastAsia="Times New Roman" w:hAnsi="Verdana" w:cs="Calibri"/>
          <w:color w:val="000000"/>
          <w:sz w:val="20"/>
          <w:szCs w:val="20"/>
          <w:lang w:eastAsia="es-CO"/>
        </w:rPr>
      </w:pPr>
    </w:p>
    <w:p w:rsidR="00750A17" w:rsidRPr="007B1BF5" w:rsidRDefault="00750A17" w:rsidP="00750A17">
      <w:pPr>
        <w:spacing w:after="0" w:line="240" w:lineRule="auto"/>
        <w:jc w:val="both"/>
        <w:rPr>
          <w:rFonts w:ascii="Verdana" w:eastAsia="Times New Roman" w:hAnsi="Verdana" w:cs="Calibri"/>
          <w:b/>
          <w:color w:val="000000"/>
          <w:sz w:val="20"/>
          <w:szCs w:val="20"/>
          <w:lang w:eastAsia="es-CO"/>
        </w:rPr>
      </w:pPr>
      <w:r>
        <w:rPr>
          <w:rFonts w:ascii="Verdana" w:eastAsia="Times New Roman" w:hAnsi="Verdana" w:cs="Calibri"/>
          <w:b/>
          <w:color w:val="000000"/>
          <w:sz w:val="20"/>
          <w:szCs w:val="20"/>
          <w:lang w:eastAsia="es-CO"/>
        </w:rPr>
        <w:t>HANNIA CORENA NAVAS</w:t>
      </w:r>
    </w:p>
    <w:p w:rsidR="00750A17" w:rsidRDefault="00750A17" w:rsidP="00750A17">
      <w:pPr>
        <w:spacing w:after="0" w:line="240" w:lineRule="auto"/>
        <w:jc w:val="both"/>
        <w:rPr>
          <w:rFonts w:ascii="Verdana" w:eastAsia="Times New Roman" w:hAnsi="Verdana" w:cs="Calibri"/>
          <w:color w:val="000000"/>
          <w:sz w:val="20"/>
          <w:szCs w:val="20"/>
          <w:lang w:eastAsia="es-CO"/>
        </w:rPr>
      </w:pPr>
      <w:r>
        <w:rPr>
          <w:rFonts w:ascii="Verdana" w:eastAsia="Times New Roman" w:hAnsi="Verdana" w:cs="Calibri"/>
          <w:color w:val="000000"/>
          <w:sz w:val="20"/>
          <w:szCs w:val="20"/>
          <w:lang w:eastAsia="es-CO"/>
        </w:rPr>
        <w:t xml:space="preserve">Contratista </w:t>
      </w:r>
    </w:p>
    <w:p w:rsidR="00750A17" w:rsidRPr="007B1BF5" w:rsidRDefault="00750A17" w:rsidP="00750A17">
      <w:pPr>
        <w:spacing w:after="0" w:line="240" w:lineRule="auto"/>
        <w:jc w:val="both"/>
        <w:rPr>
          <w:rFonts w:ascii="Verdana" w:eastAsia="Times New Roman" w:hAnsi="Verdana" w:cs="Calibri"/>
          <w:color w:val="000000"/>
          <w:sz w:val="20"/>
          <w:szCs w:val="20"/>
          <w:lang w:eastAsia="es-CO"/>
        </w:rPr>
      </w:pPr>
      <w:r>
        <w:rPr>
          <w:rFonts w:ascii="Verdana" w:eastAsia="Times New Roman" w:hAnsi="Verdana" w:cs="Calibri"/>
          <w:color w:val="000000"/>
          <w:sz w:val="20"/>
          <w:szCs w:val="20"/>
          <w:lang w:eastAsia="es-CO"/>
        </w:rPr>
        <w:t>Abogada: TP: 245.760 del CSJ</w:t>
      </w:r>
    </w:p>
    <w:p w:rsidR="00750A17" w:rsidRPr="00191661" w:rsidRDefault="00750A17" w:rsidP="00750A17">
      <w:pPr>
        <w:spacing w:after="0"/>
        <w:jc w:val="both"/>
        <w:rPr>
          <w:rFonts w:ascii="Verdana" w:hAnsi="Verdana"/>
          <w:sz w:val="20"/>
          <w:szCs w:val="20"/>
        </w:rPr>
      </w:pPr>
    </w:p>
    <w:p w:rsidR="00750A17" w:rsidRPr="00902F47" w:rsidRDefault="00902F47" w:rsidP="00902F47">
      <w:pPr>
        <w:pStyle w:val="Prrafodelista"/>
        <w:numPr>
          <w:ilvl w:val="0"/>
          <w:numId w:val="3"/>
        </w:numPr>
        <w:rPr>
          <w:sz w:val="16"/>
          <w:szCs w:val="16"/>
        </w:rPr>
      </w:pPr>
      <w:r w:rsidRPr="00902F47">
        <w:rPr>
          <w:rFonts w:ascii="Verdana" w:hAnsi="Verdana"/>
          <w:sz w:val="16"/>
          <w:szCs w:val="16"/>
        </w:rPr>
        <w:t>Excepto las solicitadas mediante GOBOL-15-009695 del 27 de Abril / 15.</w:t>
      </w:r>
    </w:p>
    <w:sectPr w:rsidR="00750A17" w:rsidRPr="00902F47" w:rsidSect="00750A17">
      <w:pgSz w:w="12240" w:h="15840"/>
      <w:pgMar w:top="1440" w:right="1080" w:bottom="1440" w:left="108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14392D"/>
    <w:multiLevelType w:val="hybridMultilevel"/>
    <w:tmpl w:val="25D2718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777805F9"/>
    <w:multiLevelType w:val="hybridMultilevel"/>
    <w:tmpl w:val="4E323910"/>
    <w:lvl w:ilvl="0" w:tplc="996EB20C">
      <w:start w:val="1"/>
      <w:numFmt w:val="decimal"/>
      <w:lvlText w:val="%1."/>
      <w:lvlJc w:val="left"/>
      <w:pPr>
        <w:ind w:left="720" w:hanging="360"/>
      </w:pPr>
      <w:rPr>
        <w:rFonts w:ascii="Verdana" w:hAnsi="Verdana"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7DC427E3"/>
    <w:multiLevelType w:val="hybridMultilevel"/>
    <w:tmpl w:val="5DAC020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compat/>
  <w:rsids>
    <w:rsidRoot w:val="00750A17"/>
    <w:rsid w:val="00662DB9"/>
    <w:rsid w:val="006E59B3"/>
    <w:rsid w:val="00750A17"/>
    <w:rsid w:val="00751B3B"/>
    <w:rsid w:val="00902F47"/>
    <w:rsid w:val="00AC341E"/>
    <w:rsid w:val="00AC5D98"/>
    <w:rsid w:val="00B11093"/>
    <w:rsid w:val="00CE019A"/>
    <w:rsid w:val="00DC633D"/>
    <w:rsid w:val="00FB1841"/>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0A17"/>
    <w:pPr>
      <w:spacing w:after="160" w:line="259"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50A17"/>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984</Words>
  <Characters>5417</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RevolucionUnattended</Company>
  <LinksUpToDate>false</LinksUpToDate>
  <CharactersWithSpaces>6389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dsanchez</dc:creator>
  <cp:lastModifiedBy>kfernandez</cp:lastModifiedBy>
  <cp:revision>2</cp:revision>
  <dcterms:created xsi:type="dcterms:W3CDTF">2015-11-23T21:34:00Z</dcterms:created>
  <dcterms:modified xsi:type="dcterms:W3CDTF">2015-11-23T21:34:00Z</dcterms:modified>
</cp:coreProperties>
</file>