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charts/chart26.xml" ContentType="application/vnd.openxmlformats-officedocument.drawingml.chart+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CA7" w:rsidRPr="00AF2A13" w:rsidRDefault="00045CA7" w:rsidP="00045CA7">
      <w:pPr>
        <w:rPr>
          <w:rFonts w:ascii="Arial" w:hAnsi="Arial" w:cs="Arial"/>
          <w:b/>
        </w:rPr>
      </w:pPr>
      <w:r>
        <w:rPr>
          <w:noProof/>
          <w:lang w:eastAsia="es-ES"/>
        </w:rPr>
        <w:drawing>
          <wp:anchor distT="0" distB="0" distL="114300" distR="114300" simplePos="0" relativeHeight="251659264" behindDoc="0" locked="0" layoutInCell="1" allowOverlap="1">
            <wp:simplePos x="0" y="0"/>
            <wp:positionH relativeFrom="column">
              <wp:posOffset>3672205</wp:posOffset>
            </wp:positionH>
            <wp:positionV relativeFrom="paragraph">
              <wp:posOffset>351790</wp:posOffset>
            </wp:positionV>
            <wp:extent cx="1840230" cy="481965"/>
            <wp:effectExtent l="0" t="0" r="762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t="18842" b="17780"/>
                    <a:stretch>
                      <a:fillRect/>
                    </a:stretch>
                  </pic:blipFill>
                  <pic:spPr bwMode="auto">
                    <a:xfrm>
                      <a:off x="0" y="0"/>
                      <a:ext cx="1840230" cy="481965"/>
                    </a:xfrm>
                    <a:prstGeom prst="rect">
                      <a:avLst/>
                    </a:prstGeom>
                    <a:noFill/>
                    <a:ln>
                      <a:noFill/>
                    </a:ln>
                  </pic:spPr>
                </pic:pic>
              </a:graphicData>
            </a:graphic>
          </wp:anchor>
        </w:drawing>
      </w:r>
      <w:r>
        <w:rPr>
          <w:noProof/>
          <w:lang w:eastAsia="es-ES"/>
        </w:rPr>
        <w:drawing>
          <wp:inline distT="0" distB="0" distL="0" distR="0">
            <wp:extent cx="3429000" cy="11163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r="20888"/>
                    <a:stretch>
                      <a:fillRect/>
                    </a:stretch>
                  </pic:blipFill>
                  <pic:spPr bwMode="auto">
                    <a:xfrm>
                      <a:off x="0" y="0"/>
                      <a:ext cx="3429000" cy="1116330"/>
                    </a:xfrm>
                    <a:prstGeom prst="rect">
                      <a:avLst/>
                    </a:prstGeom>
                    <a:noFill/>
                    <a:ln>
                      <a:noFill/>
                    </a:ln>
                  </pic:spPr>
                </pic:pic>
              </a:graphicData>
            </a:graphic>
          </wp:inline>
        </w:drawing>
      </w:r>
    </w:p>
    <w:p w:rsidR="00045CA7" w:rsidRPr="00AF2A13"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B1EC6" w:rsidRDefault="00045CA7" w:rsidP="00045CA7">
      <w:pPr>
        <w:jc w:val="center"/>
        <w:rPr>
          <w:rFonts w:ascii="Arial" w:hAnsi="Arial" w:cs="Arial"/>
          <w:b/>
          <w:sz w:val="28"/>
        </w:rPr>
      </w:pPr>
      <w:r w:rsidRPr="00AB1EC6">
        <w:rPr>
          <w:rFonts w:ascii="Arial" w:hAnsi="Arial" w:cs="Arial"/>
          <w:b/>
          <w:sz w:val="28"/>
        </w:rPr>
        <w:t xml:space="preserve">Convenio </w:t>
      </w:r>
      <w:r w:rsidRPr="00FC0D09">
        <w:rPr>
          <w:rFonts w:ascii="Arial" w:hAnsi="Arial" w:cs="Arial"/>
          <w:b/>
          <w:sz w:val="28"/>
        </w:rPr>
        <w:t>nº</w:t>
      </w:r>
      <w:r>
        <w:rPr>
          <w:rFonts w:ascii="Arial" w:hAnsi="Arial" w:cs="Arial"/>
          <w:b/>
          <w:sz w:val="28"/>
        </w:rPr>
        <w:t xml:space="preserve"> </w:t>
      </w:r>
      <w:r w:rsidRPr="00AB1EC6">
        <w:rPr>
          <w:rFonts w:ascii="Arial" w:hAnsi="Arial" w:cs="Arial"/>
          <w:b/>
          <w:sz w:val="28"/>
        </w:rPr>
        <w:t>188</w:t>
      </w:r>
    </w:p>
    <w:p w:rsidR="00045CA7" w:rsidRPr="00AB1EC6" w:rsidRDefault="00045CA7" w:rsidP="00045CA7">
      <w:pPr>
        <w:jc w:val="center"/>
        <w:rPr>
          <w:rFonts w:ascii="Arial" w:hAnsi="Arial" w:cs="Arial"/>
          <w:b/>
          <w:sz w:val="28"/>
        </w:rPr>
      </w:pPr>
    </w:p>
    <w:p w:rsidR="00045CA7" w:rsidRPr="00AB1EC6" w:rsidRDefault="00045CA7" w:rsidP="00045CA7">
      <w:pPr>
        <w:jc w:val="center"/>
        <w:rPr>
          <w:rFonts w:ascii="Arial" w:hAnsi="Arial" w:cs="Arial"/>
          <w:b/>
          <w:sz w:val="28"/>
        </w:rPr>
      </w:pPr>
      <w:r w:rsidRPr="00AB1EC6">
        <w:rPr>
          <w:rFonts w:ascii="Arial" w:hAnsi="Arial" w:cs="Arial"/>
          <w:b/>
          <w:sz w:val="28"/>
        </w:rPr>
        <w:t>Programa de Asistencia Técnica para el fortalecimiento de las políticas de empleo, emprendimiento y generación de ingresos</w:t>
      </w: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E758E8" w:rsidRDefault="00045CA7" w:rsidP="00045CA7">
      <w:pPr>
        <w:jc w:val="center"/>
        <w:rPr>
          <w:rFonts w:ascii="Arial" w:hAnsi="Arial" w:cs="Arial"/>
          <w:b/>
          <w:sz w:val="40"/>
          <w:szCs w:val="44"/>
        </w:rPr>
      </w:pPr>
      <w:r w:rsidRPr="00E758E8">
        <w:rPr>
          <w:rFonts w:ascii="Arial" w:hAnsi="Arial" w:cs="Arial"/>
          <w:b/>
          <w:color w:val="C00000"/>
          <w:sz w:val="40"/>
          <w:szCs w:val="44"/>
        </w:rPr>
        <w:t xml:space="preserve">Plan Departamental de Empleo </w:t>
      </w:r>
      <w:r>
        <w:rPr>
          <w:rFonts w:ascii="Arial" w:hAnsi="Arial" w:cs="Arial"/>
          <w:b/>
          <w:color w:val="C00000"/>
          <w:sz w:val="40"/>
          <w:szCs w:val="44"/>
        </w:rPr>
        <w:t xml:space="preserve">de </w:t>
      </w:r>
      <w:r w:rsidR="001B0468">
        <w:rPr>
          <w:rFonts w:ascii="Arial" w:hAnsi="Arial" w:cs="Arial"/>
          <w:b/>
          <w:color w:val="C00000"/>
          <w:sz w:val="40"/>
          <w:szCs w:val="44"/>
        </w:rPr>
        <w:t>Bolívar</w:t>
      </w: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Default="00045CA7" w:rsidP="00045CA7">
      <w:pPr>
        <w:jc w:val="center"/>
        <w:rPr>
          <w:rFonts w:ascii="Arial" w:hAnsi="Arial" w:cs="Arial"/>
          <w:b/>
        </w:rPr>
      </w:pPr>
    </w:p>
    <w:p w:rsidR="00045CA7" w:rsidRPr="00AF2A13" w:rsidRDefault="00045CA7" w:rsidP="00045CA7">
      <w:pPr>
        <w:jc w:val="center"/>
        <w:rPr>
          <w:rFonts w:ascii="Arial" w:hAnsi="Arial" w:cs="Arial"/>
          <w:b/>
        </w:rPr>
      </w:pPr>
    </w:p>
    <w:p w:rsidR="00045CA7" w:rsidRPr="00AF2A13" w:rsidRDefault="00045CA7" w:rsidP="00045CA7">
      <w:pPr>
        <w:jc w:val="center"/>
        <w:rPr>
          <w:rFonts w:ascii="Arial" w:hAnsi="Arial" w:cs="Arial"/>
          <w:b/>
        </w:rPr>
      </w:pPr>
      <w:r>
        <w:rPr>
          <w:noProof/>
          <w:lang w:eastAsia="es-ES"/>
        </w:rPr>
        <w:drawing>
          <wp:inline distT="0" distB="0" distL="0" distR="0">
            <wp:extent cx="2022475" cy="5803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2475" cy="580390"/>
                    </a:xfrm>
                    <a:prstGeom prst="rect">
                      <a:avLst/>
                    </a:prstGeom>
                    <a:noFill/>
                    <a:ln>
                      <a:noFill/>
                    </a:ln>
                  </pic:spPr>
                </pic:pic>
              </a:graphicData>
            </a:graphic>
          </wp:inline>
        </w:drawing>
      </w:r>
    </w:p>
    <w:p w:rsidR="00045CA7" w:rsidRPr="00F24968" w:rsidRDefault="00045CA7" w:rsidP="00045CA7">
      <w:pPr>
        <w:rPr>
          <w:rFonts w:ascii="Arial" w:hAnsi="Arial" w:cs="Arial"/>
          <w:sz w:val="18"/>
          <w:szCs w:val="18"/>
        </w:rPr>
      </w:pPr>
      <w:r w:rsidRPr="0061054B">
        <w:rPr>
          <w:rFonts w:ascii="Arial" w:hAnsi="Arial" w:cs="Arial"/>
          <w:b/>
        </w:rPr>
        <w:br w:type="page"/>
      </w:r>
      <w:r w:rsidRPr="00F24968">
        <w:rPr>
          <w:rFonts w:ascii="Arial" w:hAnsi="Arial" w:cs="Arial"/>
          <w:sz w:val="18"/>
          <w:szCs w:val="18"/>
        </w:rPr>
        <w:lastRenderedPageBreak/>
        <w:t>JUAN MANUEL SANTOS CALDERÓN</w:t>
      </w:r>
    </w:p>
    <w:p w:rsidR="00045CA7" w:rsidRPr="00F24968" w:rsidRDefault="00045CA7" w:rsidP="00045CA7">
      <w:pPr>
        <w:rPr>
          <w:rFonts w:ascii="Arial" w:hAnsi="Arial" w:cs="Arial"/>
          <w:b/>
          <w:sz w:val="18"/>
          <w:szCs w:val="18"/>
        </w:rPr>
      </w:pPr>
      <w:r w:rsidRPr="00F24968">
        <w:rPr>
          <w:rFonts w:ascii="Arial" w:hAnsi="Arial" w:cs="Arial"/>
          <w:b/>
          <w:sz w:val="18"/>
          <w:szCs w:val="18"/>
        </w:rPr>
        <w:t>Presidente de la República</w:t>
      </w:r>
    </w:p>
    <w:p w:rsidR="00045CA7" w:rsidRPr="00F24968" w:rsidRDefault="00045CA7" w:rsidP="00045CA7">
      <w:pPr>
        <w:rPr>
          <w:rFonts w:ascii="Arial" w:hAnsi="Arial" w:cs="Arial"/>
          <w:b/>
          <w:sz w:val="18"/>
          <w:szCs w:val="18"/>
        </w:rPr>
      </w:pPr>
    </w:p>
    <w:p w:rsidR="00045CA7" w:rsidRPr="00F24968" w:rsidRDefault="00045CA7" w:rsidP="00045CA7">
      <w:pPr>
        <w:rPr>
          <w:rFonts w:ascii="Arial" w:hAnsi="Arial" w:cs="Arial"/>
          <w:sz w:val="18"/>
          <w:szCs w:val="18"/>
        </w:rPr>
      </w:pPr>
      <w:r w:rsidRPr="00F24968">
        <w:rPr>
          <w:rFonts w:ascii="Arial" w:hAnsi="Arial" w:cs="Arial"/>
          <w:sz w:val="18"/>
          <w:szCs w:val="18"/>
        </w:rPr>
        <w:t>RAFAEL PARDO RUEDA</w:t>
      </w:r>
    </w:p>
    <w:p w:rsidR="00045CA7" w:rsidRPr="00F24968" w:rsidRDefault="00045CA7" w:rsidP="00045CA7">
      <w:pPr>
        <w:rPr>
          <w:rFonts w:ascii="Arial" w:hAnsi="Arial" w:cs="Arial"/>
          <w:b/>
          <w:sz w:val="18"/>
          <w:szCs w:val="18"/>
        </w:rPr>
      </w:pPr>
      <w:r w:rsidRPr="00F24968">
        <w:rPr>
          <w:rFonts w:ascii="Arial" w:hAnsi="Arial" w:cs="Arial"/>
          <w:b/>
          <w:sz w:val="18"/>
          <w:szCs w:val="18"/>
        </w:rPr>
        <w:t>Ministro del Trabajo</w:t>
      </w:r>
    </w:p>
    <w:p w:rsidR="00045CA7" w:rsidRPr="00F24968" w:rsidRDefault="00045CA7" w:rsidP="00045CA7">
      <w:pPr>
        <w:rPr>
          <w:rFonts w:ascii="Arial" w:hAnsi="Arial" w:cs="Arial"/>
          <w:sz w:val="18"/>
          <w:szCs w:val="18"/>
        </w:rPr>
      </w:pPr>
    </w:p>
    <w:p w:rsidR="00045CA7" w:rsidRPr="00F24968" w:rsidRDefault="00045CA7" w:rsidP="00045CA7">
      <w:pPr>
        <w:rPr>
          <w:rFonts w:ascii="Arial" w:hAnsi="Arial" w:cs="Arial"/>
          <w:sz w:val="18"/>
          <w:szCs w:val="18"/>
        </w:rPr>
      </w:pPr>
      <w:r w:rsidRPr="00F24968">
        <w:rPr>
          <w:rFonts w:ascii="Arial" w:hAnsi="Arial" w:cs="Arial"/>
          <w:sz w:val="18"/>
          <w:szCs w:val="18"/>
        </w:rPr>
        <w:t>MAURICIO OLIVERA</w:t>
      </w:r>
    </w:p>
    <w:p w:rsidR="00045CA7" w:rsidRPr="00F24968" w:rsidRDefault="00045CA7" w:rsidP="00045CA7">
      <w:pPr>
        <w:rPr>
          <w:rFonts w:ascii="Arial" w:hAnsi="Arial" w:cs="Arial"/>
          <w:b/>
          <w:sz w:val="18"/>
          <w:szCs w:val="18"/>
        </w:rPr>
      </w:pPr>
      <w:r w:rsidRPr="00F24968">
        <w:rPr>
          <w:rFonts w:ascii="Arial" w:hAnsi="Arial" w:cs="Arial"/>
          <w:b/>
          <w:sz w:val="18"/>
          <w:szCs w:val="18"/>
        </w:rPr>
        <w:t>Viceministro de empleo y pensiones</w:t>
      </w:r>
    </w:p>
    <w:p w:rsidR="00045CA7" w:rsidRPr="00F24968" w:rsidRDefault="00045CA7" w:rsidP="00045CA7">
      <w:pPr>
        <w:rPr>
          <w:rFonts w:ascii="Arial" w:hAnsi="Arial" w:cs="Arial"/>
          <w:b/>
          <w:sz w:val="18"/>
          <w:szCs w:val="18"/>
        </w:rPr>
      </w:pPr>
    </w:p>
    <w:p w:rsidR="00045CA7" w:rsidRPr="00F24968" w:rsidRDefault="00045CA7" w:rsidP="00045CA7">
      <w:pPr>
        <w:rPr>
          <w:rFonts w:ascii="Arial" w:hAnsi="Arial" w:cs="Arial"/>
          <w:sz w:val="18"/>
          <w:szCs w:val="18"/>
        </w:rPr>
      </w:pPr>
      <w:r>
        <w:rPr>
          <w:rFonts w:ascii="Arial" w:hAnsi="Arial" w:cs="Arial"/>
          <w:sz w:val="18"/>
          <w:szCs w:val="18"/>
        </w:rPr>
        <w:t>JOSÉ NOÉ</w:t>
      </w:r>
      <w:r w:rsidRPr="00F24968">
        <w:rPr>
          <w:rFonts w:ascii="Arial" w:hAnsi="Arial" w:cs="Arial"/>
          <w:sz w:val="18"/>
          <w:szCs w:val="18"/>
        </w:rPr>
        <w:t xml:space="preserve"> RÍOS MUÑOZ</w:t>
      </w:r>
    </w:p>
    <w:p w:rsidR="00045CA7" w:rsidRPr="00F24968" w:rsidRDefault="00045CA7" w:rsidP="00045CA7">
      <w:pPr>
        <w:rPr>
          <w:rFonts w:ascii="Arial" w:hAnsi="Arial" w:cs="Arial"/>
          <w:b/>
          <w:sz w:val="18"/>
          <w:szCs w:val="18"/>
        </w:rPr>
      </w:pPr>
      <w:r w:rsidRPr="00F24968">
        <w:rPr>
          <w:rFonts w:ascii="Arial" w:hAnsi="Arial" w:cs="Arial"/>
          <w:b/>
          <w:sz w:val="18"/>
          <w:szCs w:val="18"/>
        </w:rPr>
        <w:t>Viceministro de relaciones laborales</w:t>
      </w:r>
    </w:p>
    <w:p w:rsidR="00045CA7" w:rsidRPr="00F24968" w:rsidRDefault="00045CA7" w:rsidP="00045CA7">
      <w:pPr>
        <w:rPr>
          <w:rFonts w:ascii="Arial" w:hAnsi="Arial" w:cs="Arial"/>
          <w:sz w:val="18"/>
          <w:szCs w:val="18"/>
        </w:rPr>
      </w:pPr>
    </w:p>
    <w:p w:rsidR="00045CA7" w:rsidRPr="00F24968" w:rsidRDefault="00045CA7" w:rsidP="00045CA7">
      <w:pPr>
        <w:rPr>
          <w:rFonts w:ascii="Arial" w:hAnsi="Arial" w:cs="Arial"/>
          <w:sz w:val="18"/>
          <w:szCs w:val="18"/>
        </w:rPr>
      </w:pPr>
      <w:r w:rsidRPr="00F24968">
        <w:rPr>
          <w:rFonts w:ascii="Arial" w:hAnsi="Arial" w:cs="Arial"/>
          <w:sz w:val="18"/>
          <w:szCs w:val="18"/>
        </w:rPr>
        <w:t>JUANA PAOLA BUSTAMANTE IZQUIERDO</w:t>
      </w:r>
    </w:p>
    <w:p w:rsidR="00045CA7" w:rsidRPr="00F24968" w:rsidRDefault="00045CA7" w:rsidP="00045CA7">
      <w:pPr>
        <w:rPr>
          <w:rFonts w:ascii="Arial" w:hAnsi="Arial" w:cs="Arial"/>
          <w:b/>
          <w:sz w:val="18"/>
          <w:szCs w:val="18"/>
        </w:rPr>
      </w:pPr>
      <w:r w:rsidRPr="00F24968">
        <w:rPr>
          <w:rFonts w:ascii="Arial" w:hAnsi="Arial" w:cs="Arial"/>
          <w:b/>
          <w:sz w:val="18"/>
          <w:szCs w:val="18"/>
        </w:rPr>
        <w:t>Directora de generación y protección de empleo y subsidio familiar</w:t>
      </w:r>
    </w:p>
    <w:p w:rsidR="00045CA7" w:rsidRPr="00F24968" w:rsidRDefault="00045CA7" w:rsidP="00045CA7">
      <w:pPr>
        <w:rPr>
          <w:rFonts w:ascii="Arial" w:hAnsi="Arial" w:cs="Arial"/>
          <w:sz w:val="18"/>
          <w:szCs w:val="18"/>
        </w:rPr>
      </w:pPr>
    </w:p>
    <w:p w:rsidR="00045CA7" w:rsidRPr="00F24968" w:rsidRDefault="00045CA7" w:rsidP="00045CA7">
      <w:pPr>
        <w:rPr>
          <w:rFonts w:ascii="Arial" w:hAnsi="Arial" w:cs="Arial"/>
          <w:sz w:val="18"/>
          <w:szCs w:val="18"/>
        </w:rPr>
      </w:pPr>
      <w:r w:rsidRPr="00F24968">
        <w:rPr>
          <w:rFonts w:ascii="Arial" w:hAnsi="Arial" w:cs="Arial"/>
          <w:sz w:val="18"/>
          <w:szCs w:val="18"/>
        </w:rPr>
        <w:t>MARIO ALBERTO RODRÍGUEZ DÍAZ</w:t>
      </w:r>
    </w:p>
    <w:p w:rsidR="00045CA7" w:rsidRPr="00F24968" w:rsidRDefault="00045CA7" w:rsidP="00045CA7">
      <w:pPr>
        <w:rPr>
          <w:rFonts w:ascii="Arial" w:hAnsi="Arial" w:cs="Arial"/>
          <w:b/>
          <w:sz w:val="18"/>
          <w:szCs w:val="18"/>
        </w:rPr>
      </w:pPr>
      <w:r w:rsidRPr="00F24968">
        <w:rPr>
          <w:rFonts w:ascii="Arial" w:hAnsi="Arial" w:cs="Arial"/>
          <w:b/>
          <w:sz w:val="18"/>
          <w:szCs w:val="18"/>
        </w:rPr>
        <w:t>Subdirector (e) de formalización y protección del empleo</w:t>
      </w:r>
    </w:p>
    <w:p w:rsidR="00045CA7" w:rsidRPr="00F24968" w:rsidRDefault="00045CA7" w:rsidP="00045CA7">
      <w:pPr>
        <w:rPr>
          <w:rFonts w:ascii="Arial" w:hAnsi="Arial" w:cs="Arial"/>
          <w:b/>
          <w:sz w:val="18"/>
          <w:szCs w:val="18"/>
        </w:rPr>
      </w:pPr>
      <w:r w:rsidRPr="00F24968">
        <w:rPr>
          <w:rFonts w:ascii="Arial" w:hAnsi="Arial" w:cs="Arial"/>
          <w:b/>
          <w:sz w:val="18"/>
          <w:szCs w:val="18"/>
        </w:rPr>
        <w:t>Asesor Viceministerio de Empleo y Pensiones</w:t>
      </w:r>
    </w:p>
    <w:p w:rsidR="00045CA7" w:rsidRPr="00F24968" w:rsidRDefault="00045CA7" w:rsidP="00045CA7">
      <w:pPr>
        <w:rPr>
          <w:rFonts w:ascii="Arial" w:hAnsi="Arial" w:cs="Arial"/>
          <w:b/>
          <w:sz w:val="18"/>
          <w:szCs w:val="18"/>
        </w:rPr>
      </w:pPr>
      <w:r w:rsidRPr="00F24968">
        <w:rPr>
          <w:rFonts w:ascii="Arial" w:hAnsi="Arial" w:cs="Arial"/>
          <w:b/>
          <w:sz w:val="18"/>
          <w:szCs w:val="18"/>
        </w:rPr>
        <w:t>Dirección de Generación y Protección de Empleo y el Subsidio Familiar</w:t>
      </w:r>
    </w:p>
    <w:p w:rsidR="00045CA7" w:rsidRPr="00F24968" w:rsidRDefault="00045CA7" w:rsidP="00045CA7">
      <w:pPr>
        <w:rPr>
          <w:rFonts w:ascii="Arial" w:hAnsi="Arial" w:cs="Arial"/>
          <w:sz w:val="18"/>
          <w:szCs w:val="18"/>
        </w:rPr>
      </w:pPr>
    </w:p>
    <w:p w:rsidR="00045CA7" w:rsidRPr="00F24968" w:rsidRDefault="00045CA7" w:rsidP="00045CA7">
      <w:pPr>
        <w:rPr>
          <w:rFonts w:ascii="Arial" w:hAnsi="Arial" w:cs="Arial"/>
          <w:sz w:val="18"/>
          <w:szCs w:val="18"/>
        </w:rPr>
      </w:pPr>
      <w:r w:rsidRPr="00F24968">
        <w:rPr>
          <w:rFonts w:ascii="Arial" w:hAnsi="Arial" w:cs="Arial"/>
          <w:sz w:val="18"/>
          <w:szCs w:val="18"/>
        </w:rPr>
        <w:t>LUZ ADRIANA ARBOLEDA VILLAMIL</w:t>
      </w:r>
    </w:p>
    <w:p w:rsidR="00045CA7" w:rsidRPr="00F24968" w:rsidRDefault="00045CA7" w:rsidP="00045CA7">
      <w:pPr>
        <w:rPr>
          <w:rFonts w:ascii="Arial" w:hAnsi="Arial" w:cs="Arial"/>
          <w:b/>
          <w:sz w:val="18"/>
          <w:szCs w:val="18"/>
        </w:rPr>
      </w:pPr>
      <w:r w:rsidRPr="00F24968">
        <w:rPr>
          <w:rFonts w:ascii="Arial" w:hAnsi="Arial" w:cs="Arial"/>
          <w:b/>
          <w:sz w:val="18"/>
          <w:szCs w:val="18"/>
        </w:rPr>
        <w:t>Asesora Ministerio del Trabajo</w:t>
      </w:r>
    </w:p>
    <w:p w:rsidR="00045CA7" w:rsidRPr="00F24968" w:rsidRDefault="00045CA7" w:rsidP="00045CA7">
      <w:pPr>
        <w:rPr>
          <w:rFonts w:ascii="Arial" w:hAnsi="Arial" w:cs="Arial"/>
          <w:b/>
          <w:sz w:val="18"/>
          <w:szCs w:val="18"/>
        </w:rPr>
      </w:pPr>
    </w:p>
    <w:p w:rsidR="00045CA7" w:rsidRPr="00F24968" w:rsidRDefault="00045CA7" w:rsidP="00045CA7">
      <w:pPr>
        <w:rPr>
          <w:rFonts w:ascii="Arial" w:hAnsi="Arial" w:cs="Arial"/>
          <w:b/>
          <w:sz w:val="18"/>
          <w:szCs w:val="18"/>
        </w:rPr>
      </w:pPr>
      <w:r w:rsidRPr="00F24968">
        <w:rPr>
          <w:rFonts w:ascii="Arial" w:hAnsi="Arial" w:cs="Arial"/>
          <w:b/>
          <w:sz w:val="18"/>
          <w:szCs w:val="18"/>
        </w:rPr>
        <w:t xml:space="preserve">Equipo técnico de la Dirección de </w:t>
      </w:r>
      <w:r>
        <w:rPr>
          <w:rFonts w:ascii="Arial" w:hAnsi="Arial" w:cs="Arial"/>
          <w:b/>
          <w:sz w:val="18"/>
          <w:szCs w:val="18"/>
        </w:rPr>
        <w:t>G</w:t>
      </w:r>
      <w:r w:rsidRPr="00F24968">
        <w:rPr>
          <w:rFonts w:ascii="Arial" w:hAnsi="Arial" w:cs="Arial"/>
          <w:b/>
          <w:sz w:val="18"/>
          <w:szCs w:val="18"/>
        </w:rPr>
        <w:t>eneración</w:t>
      </w:r>
    </w:p>
    <w:p w:rsidR="00045CA7" w:rsidRPr="00F24968" w:rsidRDefault="00045CA7" w:rsidP="00045CA7">
      <w:pPr>
        <w:rPr>
          <w:rFonts w:ascii="Arial" w:hAnsi="Arial" w:cs="Arial"/>
          <w:b/>
          <w:sz w:val="18"/>
          <w:szCs w:val="18"/>
        </w:rPr>
      </w:pPr>
      <w:proofErr w:type="gramStart"/>
      <w:r w:rsidRPr="00F24968">
        <w:rPr>
          <w:rFonts w:ascii="Arial" w:hAnsi="Arial" w:cs="Arial"/>
          <w:b/>
          <w:sz w:val="18"/>
          <w:szCs w:val="18"/>
        </w:rPr>
        <w:t>y</w:t>
      </w:r>
      <w:proofErr w:type="gramEnd"/>
      <w:r w:rsidRPr="00F24968">
        <w:rPr>
          <w:rFonts w:ascii="Arial" w:hAnsi="Arial" w:cs="Arial"/>
          <w:b/>
          <w:sz w:val="18"/>
          <w:szCs w:val="18"/>
        </w:rPr>
        <w:t xml:space="preserve"> </w:t>
      </w:r>
      <w:r>
        <w:rPr>
          <w:rFonts w:ascii="Arial" w:hAnsi="Arial" w:cs="Arial"/>
          <w:b/>
          <w:sz w:val="18"/>
          <w:szCs w:val="18"/>
        </w:rPr>
        <w:t>P</w:t>
      </w:r>
      <w:r w:rsidRPr="00F24968">
        <w:rPr>
          <w:rFonts w:ascii="Arial" w:hAnsi="Arial" w:cs="Arial"/>
          <w:b/>
          <w:sz w:val="18"/>
          <w:szCs w:val="18"/>
        </w:rPr>
        <w:t xml:space="preserve">rotección al </w:t>
      </w:r>
      <w:r>
        <w:rPr>
          <w:rFonts w:ascii="Arial" w:hAnsi="Arial" w:cs="Arial"/>
          <w:b/>
          <w:sz w:val="18"/>
          <w:szCs w:val="18"/>
        </w:rPr>
        <w:t>E</w:t>
      </w:r>
      <w:r w:rsidRPr="00F24968">
        <w:rPr>
          <w:rFonts w:ascii="Arial" w:hAnsi="Arial" w:cs="Arial"/>
          <w:b/>
          <w:sz w:val="18"/>
          <w:szCs w:val="18"/>
        </w:rPr>
        <w:t xml:space="preserve">mpleo y </w:t>
      </w:r>
      <w:r>
        <w:rPr>
          <w:rFonts w:ascii="Arial" w:hAnsi="Arial" w:cs="Arial"/>
          <w:b/>
          <w:sz w:val="18"/>
          <w:szCs w:val="18"/>
        </w:rPr>
        <w:t>S</w:t>
      </w:r>
      <w:r w:rsidRPr="00F24968">
        <w:rPr>
          <w:rFonts w:ascii="Arial" w:hAnsi="Arial" w:cs="Arial"/>
          <w:b/>
          <w:sz w:val="18"/>
          <w:szCs w:val="18"/>
        </w:rPr>
        <w:t xml:space="preserve">ubsidio </w:t>
      </w:r>
      <w:r>
        <w:rPr>
          <w:rFonts w:ascii="Arial" w:hAnsi="Arial" w:cs="Arial"/>
          <w:b/>
          <w:sz w:val="18"/>
          <w:szCs w:val="18"/>
        </w:rPr>
        <w:t>F</w:t>
      </w:r>
      <w:r w:rsidRPr="00F24968">
        <w:rPr>
          <w:rFonts w:ascii="Arial" w:hAnsi="Arial" w:cs="Arial"/>
          <w:b/>
          <w:sz w:val="18"/>
          <w:szCs w:val="18"/>
        </w:rPr>
        <w:t>amiliar</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 xml:space="preserve">Fundación Panamericana para </w:t>
      </w:r>
    </w:p>
    <w:p w:rsidR="00045CA7" w:rsidRPr="00F24968" w:rsidRDefault="00045CA7" w:rsidP="00045CA7">
      <w:pPr>
        <w:jc w:val="right"/>
        <w:rPr>
          <w:rFonts w:ascii="Arial" w:hAnsi="Arial" w:cs="Arial"/>
          <w:b/>
          <w:sz w:val="18"/>
          <w:szCs w:val="18"/>
        </w:rPr>
      </w:pPr>
      <w:proofErr w:type="gramStart"/>
      <w:r w:rsidRPr="00F24968">
        <w:rPr>
          <w:rFonts w:ascii="Arial" w:hAnsi="Arial" w:cs="Arial"/>
          <w:b/>
          <w:sz w:val="18"/>
          <w:szCs w:val="18"/>
        </w:rPr>
        <w:t>el</w:t>
      </w:r>
      <w:proofErr w:type="gramEnd"/>
      <w:r w:rsidRPr="00F24968">
        <w:rPr>
          <w:rFonts w:ascii="Arial" w:hAnsi="Arial" w:cs="Arial"/>
          <w:b/>
          <w:sz w:val="18"/>
          <w:szCs w:val="18"/>
        </w:rPr>
        <w:t xml:space="preserve"> Desarrollo - FUPAD Colombia</w:t>
      </w:r>
    </w:p>
    <w:p w:rsidR="00045CA7" w:rsidRPr="00F24968" w:rsidRDefault="00045CA7" w:rsidP="00045CA7">
      <w:pPr>
        <w:jc w:val="right"/>
        <w:rPr>
          <w:rFonts w:ascii="Arial" w:hAnsi="Arial" w:cs="Arial"/>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 xml:space="preserve">SORAYA OSORIO </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 xml:space="preserve">Directora General </w:t>
      </w:r>
    </w:p>
    <w:p w:rsidR="00045CA7" w:rsidRPr="00F24968" w:rsidRDefault="00045CA7" w:rsidP="00045CA7">
      <w:pPr>
        <w:jc w:val="right"/>
        <w:rPr>
          <w:rFonts w:ascii="Arial" w:hAnsi="Arial" w:cs="Arial"/>
          <w:b/>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LUZ CRISTINA PINZÓN</w:t>
      </w:r>
      <w:r>
        <w:rPr>
          <w:rFonts w:ascii="Arial" w:hAnsi="Arial" w:cs="Arial"/>
          <w:sz w:val="18"/>
          <w:szCs w:val="18"/>
        </w:rPr>
        <w:t xml:space="preserve"> C.</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 xml:space="preserve">Directora de Relaciones Corporativas, </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Comunicaciones y Desarrollo Social</w:t>
      </w:r>
    </w:p>
    <w:p w:rsidR="00045CA7" w:rsidRPr="00F24968" w:rsidRDefault="00045CA7" w:rsidP="00045CA7">
      <w:pPr>
        <w:jc w:val="right"/>
        <w:rPr>
          <w:rFonts w:ascii="Arial" w:hAnsi="Arial" w:cs="Arial"/>
          <w:b/>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GLORIA NELLY ACOSTA</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Directora de desarrollo socioeconómico</w:t>
      </w:r>
    </w:p>
    <w:p w:rsidR="00045CA7" w:rsidRPr="00F24968" w:rsidRDefault="00045CA7" w:rsidP="00045CA7">
      <w:pPr>
        <w:jc w:val="right"/>
        <w:rPr>
          <w:rFonts w:ascii="Arial" w:hAnsi="Arial" w:cs="Arial"/>
          <w:b/>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GLORIA ALICIA PINZÓN</w:t>
      </w:r>
      <w:r>
        <w:rPr>
          <w:rFonts w:ascii="Arial" w:hAnsi="Arial" w:cs="Arial"/>
          <w:sz w:val="18"/>
          <w:szCs w:val="18"/>
        </w:rPr>
        <w:t xml:space="preserve"> C.</w:t>
      </w:r>
      <w:r w:rsidRPr="00F24968">
        <w:rPr>
          <w:rFonts w:ascii="Arial" w:hAnsi="Arial" w:cs="Arial"/>
          <w:sz w:val="18"/>
          <w:szCs w:val="18"/>
        </w:rPr>
        <w:t xml:space="preserve"> </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Gerente de convenios de desarrollo socioeconómico</w:t>
      </w:r>
    </w:p>
    <w:p w:rsidR="00045CA7" w:rsidRPr="00F24968" w:rsidRDefault="00045CA7" w:rsidP="00045CA7">
      <w:pPr>
        <w:jc w:val="right"/>
        <w:rPr>
          <w:rFonts w:ascii="Arial" w:hAnsi="Arial" w:cs="Arial"/>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RICARDO ANDRÉS MOLINA SUÁREZ</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 xml:space="preserve">Gerente </w:t>
      </w:r>
      <w:r>
        <w:rPr>
          <w:rFonts w:ascii="Arial" w:hAnsi="Arial" w:cs="Arial"/>
          <w:b/>
          <w:sz w:val="18"/>
          <w:szCs w:val="18"/>
        </w:rPr>
        <w:t>t</w:t>
      </w:r>
      <w:r w:rsidRPr="00F24968">
        <w:rPr>
          <w:rFonts w:ascii="Arial" w:hAnsi="Arial" w:cs="Arial"/>
          <w:b/>
          <w:sz w:val="18"/>
          <w:szCs w:val="18"/>
        </w:rPr>
        <w:t xml:space="preserve">écnico </w:t>
      </w:r>
    </w:p>
    <w:p w:rsidR="00045CA7" w:rsidRPr="00F24968" w:rsidRDefault="00045CA7" w:rsidP="00045CA7">
      <w:pPr>
        <w:jc w:val="right"/>
        <w:rPr>
          <w:rFonts w:ascii="Arial" w:hAnsi="Arial" w:cs="Arial"/>
          <w:b/>
          <w:sz w:val="18"/>
          <w:szCs w:val="18"/>
        </w:rPr>
      </w:pPr>
    </w:p>
    <w:p w:rsidR="00045CA7" w:rsidRPr="00F24968" w:rsidRDefault="00045CA7" w:rsidP="00045CA7">
      <w:pPr>
        <w:jc w:val="right"/>
        <w:rPr>
          <w:rFonts w:ascii="Arial" w:hAnsi="Arial" w:cs="Arial"/>
          <w:sz w:val="18"/>
          <w:szCs w:val="18"/>
        </w:rPr>
      </w:pPr>
      <w:r w:rsidRPr="00F24968">
        <w:rPr>
          <w:rFonts w:ascii="Arial" w:hAnsi="Arial" w:cs="Arial"/>
          <w:sz w:val="18"/>
          <w:szCs w:val="18"/>
        </w:rPr>
        <w:t>ALEXANDER BAUTISTA VIZCAÍNO</w:t>
      </w:r>
    </w:p>
    <w:p w:rsidR="00045CA7" w:rsidRPr="00F24968" w:rsidRDefault="00045CA7" w:rsidP="00045CA7">
      <w:pPr>
        <w:jc w:val="right"/>
        <w:rPr>
          <w:rFonts w:ascii="Arial" w:hAnsi="Arial" w:cs="Arial"/>
          <w:b/>
          <w:sz w:val="18"/>
          <w:szCs w:val="18"/>
        </w:rPr>
      </w:pPr>
      <w:r w:rsidRPr="00F24968">
        <w:rPr>
          <w:rFonts w:ascii="Arial" w:hAnsi="Arial" w:cs="Arial"/>
          <w:b/>
          <w:sz w:val="18"/>
          <w:szCs w:val="18"/>
        </w:rPr>
        <w:t>Jefe de investigaciones económicas</w:t>
      </w:r>
    </w:p>
    <w:p w:rsidR="00045CA7" w:rsidRPr="00F24968" w:rsidRDefault="00045CA7" w:rsidP="00045CA7">
      <w:pPr>
        <w:jc w:val="right"/>
        <w:rPr>
          <w:rFonts w:ascii="Arial" w:hAnsi="Arial" w:cs="Arial"/>
          <w:sz w:val="18"/>
          <w:szCs w:val="18"/>
        </w:rPr>
      </w:pPr>
    </w:p>
    <w:p w:rsidR="00045CA7" w:rsidRPr="00F24968" w:rsidRDefault="00045CA7" w:rsidP="00045CA7">
      <w:pPr>
        <w:jc w:val="right"/>
        <w:rPr>
          <w:rFonts w:ascii="Arial" w:hAnsi="Arial" w:cs="Arial"/>
          <w:b/>
          <w:sz w:val="18"/>
          <w:szCs w:val="18"/>
        </w:rPr>
      </w:pPr>
    </w:p>
    <w:p w:rsidR="00045CA7" w:rsidRPr="00F24968" w:rsidRDefault="00045CA7" w:rsidP="00045CA7">
      <w:pPr>
        <w:jc w:val="right"/>
        <w:rPr>
          <w:rFonts w:ascii="Arial" w:hAnsi="Arial" w:cs="Arial"/>
          <w:sz w:val="18"/>
          <w:szCs w:val="18"/>
        </w:rPr>
      </w:pPr>
    </w:p>
    <w:p w:rsidR="00045CA7" w:rsidRPr="00045CA7" w:rsidRDefault="00045CA7" w:rsidP="00A45478">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 xml:space="preserve">Este documento fue </w:t>
      </w:r>
      <w:proofErr w:type="spellStart"/>
      <w:r w:rsidR="00A45478">
        <w:rPr>
          <w:rFonts w:ascii="Arial" w:hAnsi="Arial" w:cs="Arial"/>
          <w:sz w:val="14"/>
          <w:szCs w:val="18"/>
          <w:lang w:val="es-CO" w:eastAsia="es-CO"/>
        </w:rPr>
        <w:t>xxxxxx</w:t>
      </w:r>
      <w:proofErr w:type="spellEnd"/>
    </w:p>
    <w:p w:rsidR="00045CA7" w:rsidRPr="00045CA7" w:rsidRDefault="00045CA7" w:rsidP="00045CA7">
      <w:pPr>
        <w:autoSpaceDE w:val="0"/>
        <w:autoSpaceDN w:val="0"/>
        <w:adjustRightInd w:val="0"/>
        <w:rPr>
          <w:rFonts w:ascii="Arial" w:hAnsi="Arial" w:cs="Arial"/>
          <w:sz w:val="14"/>
          <w:szCs w:val="18"/>
          <w:lang w:eastAsia="es-CO"/>
        </w:rPr>
      </w:pP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Edición y corrección de estilo</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Diana Forero Buitrago</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 xml:space="preserve">FUPAD Colombia </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Texto con estilo</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www.textoconestilo.com</w:t>
      </w:r>
    </w:p>
    <w:p w:rsidR="00045CA7" w:rsidRPr="00045CA7" w:rsidRDefault="00045CA7" w:rsidP="00045CA7">
      <w:pPr>
        <w:autoSpaceDE w:val="0"/>
        <w:autoSpaceDN w:val="0"/>
        <w:adjustRightInd w:val="0"/>
        <w:rPr>
          <w:rFonts w:ascii="Arial" w:hAnsi="Arial" w:cs="Arial"/>
          <w:sz w:val="14"/>
          <w:szCs w:val="18"/>
          <w:lang w:val="es-CO" w:eastAsia="es-CO"/>
        </w:rPr>
      </w:pP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Producción gráfica</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Opciones Gráficas Editores Ltda.</w:t>
      </w:r>
    </w:p>
    <w:p w:rsidR="00045CA7" w:rsidRPr="00045CA7" w:rsidRDefault="00045CA7" w:rsidP="00045CA7">
      <w:pPr>
        <w:autoSpaceDE w:val="0"/>
        <w:autoSpaceDN w:val="0"/>
        <w:adjustRightInd w:val="0"/>
        <w:rPr>
          <w:rFonts w:ascii="Arial" w:hAnsi="Arial" w:cs="Arial"/>
          <w:sz w:val="14"/>
          <w:szCs w:val="18"/>
          <w:lang w:val="es-CO" w:eastAsia="es-CO"/>
        </w:rPr>
      </w:pPr>
      <w:r w:rsidRPr="00045CA7">
        <w:rPr>
          <w:rFonts w:ascii="Arial" w:hAnsi="Arial" w:cs="Arial"/>
          <w:sz w:val="14"/>
          <w:szCs w:val="18"/>
          <w:lang w:val="es-CO" w:eastAsia="es-CO"/>
        </w:rPr>
        <w:t>Teléfonos: (1) 224 1823 – (1) 430 1962</w:t>
      </w:r>
    </w:p>
    <w:p w:rsidR="00045CA7" w:rsidRPr="00045CA7" w:rsidRDefault="00045CA7" w:rsidP="00045CA7">
      <w:pPr>
        <w:rPr>
          <w:rFonts w:ascii="Arial" w:hAnsi="Arial" w:cs="Arial"/>
          <w:sz w:val="14"/>
          <w:szCs w:val="18"/>
          <w:lang w:val="es-CO" w:eastAsia="es-CO"/>
        </w:rPr>
      </w:pPr>
      <w:r w:rsidRPr="00045CA7">
        <w:rPr>
          <w:rFonts w:ascii="Arial" w:hAnsi="Arial" w:cs="Arial"/>
          <w:sz w:val="14"/>
          <w:szCs w:val="18"/>
          <w:lang w:val="es-CO" w:eastAsia="es-CO"/>
        </w:rPr>
        <w:t>www.opcionesgraficas.com</w:t>
      </w:r>
    </w:p>
    <w:sdt>
      <w:sdtPr>
        <w:rPr>
          <w:rFonts w:ascii="Calibri" w:eastAsia="Calibri" w:hAnsi="Calibri" w:cs="Times New Roman"/>
          <w:b w:val="0"/>
          <w:bCs w:val="0"/>
          <w:color w:val="auto"/>
          <w:sz w:val="22"/>
          <w:szCs w:val="22"/>
          <w:lang w:val="es-ES" w:eastAsia="en-US"/>
        </w:rPr>
        <w:id w:val="1820998397"/>
        <w:docPartObj>
          <w:docPartGallery w:val="Table of Contents"/>
          <w:docPartUnique/>
        </w:docPartObj>
      </w:sdtPr>
      <w:sdtEndPr>
        <w:rPr>
          <w:rFonts w:ascii="Arial" w:hAnsi="Arial"/>
        </w:rPr>
      </w:sdtEndPr>
      <w:sdtContent>
        <w:p w:rsidR="00BC4008" w:rsidRPr="00F34D8D" w:rsidRDefault="00BC4008" w:rsidP="00BC4008">
          <w:pPr>
            <w:pStyle w:val="TtulodeTDC"/>
            <w:jc w:val="center"/>
            <w:rPr>
              <w:rFonts w:ascii="Arial" w:hAnsi="Arial" w:cs="Arial"/>
              <w:color w:val="C00000"/>
              <w:sz w:val="22"/>
            </w:rPr>
          </w:pPr>
          <w:r w:rsidRPr="00F34D8D">
            <w:rPr>
              <w:rFonts w:ascii="Arial" w:hAnsi="Arial" w:cs="Arial"/>
              <w:color w:val="C00000"/>
              <w:sz w:val="22"/>
              <w:lang w:val="es-ES"/>
            </w:rPr>
            <w:t>Tabla de Contenido</w:t>
          </w:r>
        </w:p>
        <w:p w:rsidR="00661885" w:rsidRDefault="00E15176">
          <w:pPr>
            <w:pStyle w:val="TDC1"/>
            <w:tabs>
              <w:tab w:val="right" w:leader="dot" w:pos="8828"/>
            </w:tabs>
            <w:rPr>
              <w:rFonts w:asciiTheme="minorHAnsi" w:eastAsiaTheme="minorEastAsia" w:hAnsiTheme="minorHAnsi" w:cstheme="minorBidi"/>
              <w:noProof/>
              <w:lang w:eastAsia="es-ES"/>
            </w:rPr>
          </w:pPr>
          <w:r w:rsidRPr="00F34D8D">
            <w:rPr>
              <w:rFonts w:ascii="Arial" w:hAnsi="Arial"/>
            </w:rPr>
            <w:fldChar w:fldCharType="begin"/>
          </w:r>
          <w:r w:rsidR="00BC4008" w:rsidRPr="00F34D8D">
            <w:rPr>
              <w:rFonts w:ascii="Arial" w:hAnsi="Arial"/>
            </w:rPr>
            <w:instrText xml:space="preserve"> TOC \o "1-3" \h \z \u </w:instrText>
          </w:r>
          <w:r w:rsidRPr="00F34D8D">
            <w:rPr>
              <w:rFonts w:ascii="Arial" w:hAnsi="Arial"/>
            </w:rPr>
            <w:fldChar w:fldCharType="separate"/>
          </w:r>
          <w:hyperlink w:anchor="_Toc389666611" w:history="1">
            <w:r w:rsidR="00661885" w:rsidRPr="00F92173">
              <w:rPr>
                <w:rStyle w:val="Hipervnculo"/>
                <w:rFonts w:ascii="Arial" w:eastAsia="Times New Roman" w:hAnsi="Arial" w:cs="Arial"/>
                <w:noProof/>
              </w:rPr>
              <w:t>Introducción</w:t>
            </w:r>
            <w:r w:rsidR="00661885">
              <w:rPr>
                <w:noProof/>
                <w:webHidden/>
              </w:rPr>
              <w:tab/>
            </w:r>
            <w:r w:rsidR="00661885">
              <w:rPr>
                <w:noProof/>
                <w:webHidden/>
              </w:rPr>
              <w:fldChar w:fldCharType="begin"/>
            </w:r>
            <w:r w:rsidR="00661885">
              <w:rPr>
                <w:noProof/>
                <w:webHidden/>
              </w:rPr>
              <w:instrText xml:space="preserve"> PAGEREF _Toc389666611 \h </w:instrText>
            </w:r>
            <w:r w:rsidR="00661885">
              <w:rPr>
                <w:noProof/>
                <w:webHidden/>
              </w:rPr>
            </w:r>
            <w:r w:rsidR="00661885">
              <w:rPr>
                <w:noProof/>
                <w:webHidden/>
              </w:rPr>
              <w:fldChar w:fldCharType="separate"/>
            </w:r>
            <w:r w:rsidR="00661885">
              <w:rPr>
                <w:noProof/>
                <w:webHidden/>
              </w:rPr>
              <w:t>7</w:t>
            </w:r>
            <w:r w:rsidR="00661885">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12" w:history="1">
            <w:r w:rsidRPr="00F92173">
              <w:rPr>
                <w:rStyle w:val="Hipervnculo"/>
                <w:rFonts w:ascii="Arial" w:eastAsia="Times New Roman" w:hAnsi="Arial" w:cs="Arial"/>
                <w:noProof/>
              </w:rPr>
              <w:t>1.</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Metodología para la formulación del Plan Departamental de Empleo de Bolívar</w:t>
            </w:r>
            <w:r>
              <w:rPr>
                <w:noProof/>
                <w:webHidden/>
              </w:rPr>
              <w:tab/>
            </w:r>
            <w:r>
              <w:rPr>
                <w:noProof/>
                <w:webHidden/>
              </w:rPr>
              <w:fldChar w:fldCharType="begin"/>
            </w:r>
            <w:r>
              <w:rPr>
                <w:noProof/>
                <w:webHidden/>
              </w:rPr>
              <w:instrText xml:space="preserve"> PAGEREF _Toc389666612 \h </w:instrText>
            </w:r>
            <w:r>
              <w:rPr>
                <w:noProof/>
                <w:webHidden/>
              </w:rPr>
            </w:r>
            <w:r>
              <w:rPr>
                <w:noProof/>
                <w:webHidden/>
              </w:rPr>
              <w:fldChar w:fldCharType="separate"/>
            </w:r>
            <w:r>
              <w:rPr>
                <w:noProof/>
                <w:webHidden/>
              </w:rPr>
              <w:t>9</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3" w:history="1">
            <w:r w:rsidRPr="00F92173">
              <w:rPr>
                <w:rStyle w:val="Hipervnculo"/>
                <w:rFonts w:ascii="Arial" w:eastAsia="Times New Roman" w:hAnsi="Arial" w:cs="Arial"/>
                <w:noProof/>
              </w:rPr>
              <w:t>1.1</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Socialización del Programa de Asistencia Técnica – PAT</w:t>
            </w:r>
            <w:r>
              <w:rPr>
                <w:noProof/>
                <w:webHidden/>
              </w:rPr>
              <w:tab/>
            </w:r>
            <w:r>
              <w:rPr>
                <w:noProof/>
                <w:webHidden/>
              </w:rPr>
              <w:fldChar w:fldCharType="begin"/>
            </w:r>
            <w:r>
              <w:rPr>
                <w:noProof/>
                <w:webHidden/>
              </w:rPr>
              <w:instrText xml:space="preserve"> PAGEREF _Toc389666613 \h </w:instrText>
            </w:r>
            <w:r>
              <w:rPr>
                <w:noProof/>
                <w:webHidden/>
              </w:rPr>
            </w:r>
            <w:r>
              <w:rPr>
                <w:noProof/>
                <w:webHidden/>
              </w:rPr>
              <w:fldChar w:fldCharType="separate"/>
            </w:r>
            <w:r>
              <w:rPr>
                <w:noProof/>
                <w:webHidden/>
              </w:rPr>
              <w:t>9</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4" w:history="1">
            <w:r w:rsidRPr="00F92173">
              <w:rPr>
                <w:rStyle w:val="Hipervnculo"/>
                <w:rFonts w:ascii="Arial" w:eastAsia="Times New Roman" w:hAnsi="Arial" w:cs="Arial"/>
                <w:noProof/>
              </w:rPr>
              <w:t>1.2</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Reconocimiento territorial y mapeo de actores estratégicos</w:t>
            </w:r>
            <w:r>
              <w:rPr>
                <w:noProof/>
                <w:webHidden/>
              </w:rPr>
              <w:tab/>
            </w:r>
            <w:r>
              <w:rPr>
                <w:noProof/>
                <w:webHidden/>
              </w:rPr>
              <w:fldChar w:fldCharType="begin"/>
            </w:r>
            <w:r>
              <w:rPr>
                <w:noProof/>
                <w:webHidden/>
              </w:rPr>
              <w:instrText xml:space="preserve"> PAGEREF _Toc389666614 \h </w:instrText>
            </w:r>
            <w:r>
              <w:rPr>
                <w:noProof/>
                <w:webHidden/>
              </w:rPr>
            </w:r>
            <w:r>
              <w:rPr>
                <w:noProof/>
                <w:webHidden/>
              </w:rPr>
              <w:fldChar w:fldCharType="separate"/>
            </w:r>
            <w:r>
              <w:rPr>
                <w:noProof/>
                <w:webHidden/>
              </w:rPr>
              <w:t>10</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5" w:history="1">
            <w:r w:rsidRPr="00F92173">
              <w:rPr>
                <w:rStyle w:val="Hipervnculo"/>
                <w:rFonts w:ascii="Arial" w:eastAsia="Times New Roman" w:hAnsi="Arial" w:cs="Arial"/>
                <w:noProof/>
              </w:rPr>
              <w:t>1.3</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Caracterización socioeconómica departamental</w:t>
            </w:r>
            <w:r>
              <w:rPr>
                <w:noProof/>
                <w:webHidden/>
              </w:rPr>
              <w:tab/>
            </w:r>
            <w:r>
              <w:rPr>
                <w:noProof/>
                <w:webHidden/>
              </w:rPr>
              <w:fldChar w:fldCharType="begin"/>
            </w:r>
            <w:r>
              <w:rPr>
                <w:noProof/>
                <w:webHidden/>
              </w:rPr>
              <w:instrText xml:space="preserve"> PAGEREF _Toc389666615 \h </w:instrText>
            </w:r>
            <w:r>
              <w:rPr>
                <w:noProof/>
                <w:webHidden/>
              </w:rPr>
            </w:r>
            <w:r>
              <w:rPr>
                <w:noProof/>
                <w:webHidden/>
              </w:rPr>
              <w:fldChar w:fldCharType="separate"/>
            </w:r>
            <w:r>
              <w:rPr>
                <w:noProof/>
                <w:webHidden/>
              </w:rPr>
              <w:t>11</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6" w:history="1">
            <w:r w:rsidRPr="00F92173">
              <w:rPr>
                <w:rStyle w:val="Hipervnculo"/>
                <w:rFonts w:ascii="Arial" w:eastAsia="Times New Roman" w:hAnsi="Arial" w:cs="Arial"/>
                <w:noProof/>
              </w:rPr>
              <w:t>1.4</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Definición del espacio institucional para la gestión del Plan Departamental de Empleo</w:t>
            </w:r>
            <w:r>
              <w:rPr>
                <w:noProof/>
                <w:webHidden/>
              </w:rPr>
              <w:tab/>
            </w:r>
            <w:r>
              <w:rPr>
                <w:noProof/>
                <w:webHidden/>
              </w:rPr>
              <w:fldChar w:fldCharType="begin"/>
            </w:r>
            <w:r>
              <w:rPr>
                <w:noProof/>
                <w:webHidden/>
              </w:rPr>
              <w:instrText xml:space="preserve"> PAGEREF _Toc389666616 \h </w:instrText>
            </w:r>
            <w:r>
              <w:rPr>
                <w:noProof/>
                <w:webHidden/>
              </w:rPr>
            </w:r>
            <w:r>
              <w:rPr>
                <w:noProof/>
                <w:webHidden/>
              </w:rPr>
              <w:fldChar w:fldCharType="separate"/>
            </w:r>
            <w:r>
              <w:rPr>
                <w:noProof/>
                <w:webHidden/>
              </w:rPr>
              <w:t>11</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7" w:history="1">
            <w:r w:rsidRPr="00F92173">
              <w:rPr>
                <w:rStyle w:val="Hipervnculo"/>
                <w:rFonts w:ascii="Arial" w:hAnsi="Arial" w:cs="Arial"/>
                <w:iCs/>
                <w:noProof/>
              </w:rPr>
              <w:t>1.5</w:t>
            </w:r>
            <w:r>
              <w:rPr>
                <w:rFonts w:asciiTheme="minorHAnsi" w:eastAsiaTheme="minorEastAsia" w:hAnsiTheme="minorHAnsi" w:cstheme="minorBidi"/>
                <w:noProof/>
                <w:lang w:eastAsia="es-ES"/>
              </w:rPr>
              <w:tab/>
            </w:r>
            <w:r w:rsidRPr="00F92173">
              <w:rPr>
                <w:rStyle w:val="Hipervnculo"/>
                <w:rFonts w:ascii="Arial" w:hAnsi="Arial" w:cs="Arial"/>
                <w:noProof/>
              </w:rPr>
              <w:t>Socialización del Plan Departamental de Empleo</w:t>
            </w:r>
            <w:r>
              <w:rPr>
                <w:noProof/>
                <w:webHidden/>
              </w:rPr>
              <w:tab/>
            </w:r>
            <w:r>
              <w:rPr>
                <w:noProof/>
                <w:webHidden/>
              </w:rPr>
              <w:fldChar w:fldCharType="begin"/>
            </w:r>
            <w:r>
              <w:rPr>
                <w:noProof/>
                <w:webHidden/>
              </w:rPr>
              <w:instrText xml:space="preserve"> PAGEREF _Toc389666617 \h </w:instrText>
            </w:r>
            <w:r>
              <w:rPr>
                <w:noProof/>
                <w:webHidden/>
              </w:rPr>
            </w:r>
            <w:r>
              <w:rPr>
                <w:noProof/>
                <w:webHidden/>
              </w:rPr>
              <w:fldChar w:fldCharType="separate"/>
            </w:r>
            <w:r>
              <w:rPr>
                <w:noProof/>
                <w:webHidden/>
              </w:rPr>
              <w:t>12</w:t>
            </w:r>
            <w:r>
              <w:rPr>
                <w:noProof/>
                <w:webHidden/>
              </w:rPr>
              <w:fldChar w:fldCharType="end"/>
            </w:r>
          </w:hyperlink>
        </w:p>
        <w:p w:rsidR="00661885" w:rsidRDefault="00661885">
          <w:pPr>
            <w:pStyle w:val="TDC1"/>
            <w:tabs>
              <w:tab w:val="right" w:leader="dot" w:pos="8828"/>
            </w:tabs>
            <w:rPr>
              <w:rFonts w:asciiTheme="minorHAnsi" w:eastAsiaTheme="minorEastAsia" w:hAnsiTheme="minorHAnsi" w:cstheme="minorBidi"/>
              <w:noProof/>
              <w:lang w:eastAsia="es-ES"/>
            </w:rPr>
          </w:pPr>
          <w:hyperlink w:anchor="_Toc389666618" w:history="1">
            <w:r w:rsidRPr="00F92173">
              <w:rPr>
                <w:rStyle w:val="Hipervnculo"/>
                <w:rFonts w:ascii="Arial" w:eastAsia="Times New Roman" w:hAnsi="Arial" w:cs="Arial"/>
                <w:noProof/>
                <w:lang w:eastAsia="x-none"/>
              </w:rPr>
              <w:t xml:space="preserve">2. </w:t>
            </w:r>
            <w:r w:rsidRPr="00F92173">
              <w:rPr>
                <w:rStyle w:val="Hipervnculo"/>
                <w:rFonts w:ascii="Arial" w:eastAsia="Times New Roman" w:hAnsi="Arial" w:cs="Arial"/>
                <w:noProof/>
                <w:lang w:val="es-CO" w:eastAsia="x-none"/>
              </w:rPr>
              <w:t>Caracterización socioeconómica general del departamento</w:t>
            </w:r>
            <w:r>
              <w:rPr>
                <w:noProof/>
                <w:webHidden/>
              </w:rPr>
              <w:tab/>
            </w:r>
            <w:r>
              <w:rPr>
                <w:noProof/>
                <w:webHidden/>
              </w:rPr>
              <w:fldChar w:fldCharType="begin"/>
            </w:r>
            <w:r>
              <w:rPr>
                <w:noProof/>
                <w:webHidden/>
              </w:rPr>
              <w:instrText xml:space="preserve"> PAGEREF _Toc389666618 \h </w:instrText>
            </w:r>
            <w:r>
              <w:rPr>
                <w:noProof/>
                <w:webHidden/>
              </w:rPr>
            </w:r>
            <w:r>
              <w:rPr>
                <w:noProof/>
                <w:webHidden/>
              </w:rPr>
              <w:fldChar w:fldCharType="separate"/>
            </w:r>
            <w:r>
              <w:rPr>
                <w:noProof/>
                <w:webHidden/>
              </w:rPr>
              <w:t>13</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19" w:history="1">
            <w:r w:rsidRPr="00F92173">
              <w:rPr>
                <w:rStyle w:val="Hipervnculo"/>
                <w:rFonts w:ascii="Arial" w:eastAsia="Times New Roman" w:hAnsi="Arial" w:cs="Arial"/>
                <w:noProof/>
              </w:rPr>
              <w:t>2.1</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Aspectos sociodemográficos</w:t>
            </w:r>
            <w:r>
              <w:rPr>
                <w:noProof/>
                <w:webHidden/>
              </w:rPr>
              <w:tab/>
            </w:r>
            <w:r>
              <w:rPr>
                <w:noProof/>
                <w:webHidden/>
              </w:rPr>
              <w:fldChar w:fldCharType="begin"/>
            </w:r>
            <w:r>
              <w:rPr>
                <w:noProof/>
                <w:webHidden/>
              </w:rPr>
              <w:instrText xml:space="preserve"> PAGEREF _Toc389666619 \h </w:instrText>
            </w:r>
            <w:r>
              <w:rPr>
                <w:noProof/>
                <w:webHidden/>
              </w:rPr>
            </w:r>
            <w:r>
              <w:rPr>
                <w:noProof/>
                <w:webHidden/>
              </w:rPr>
              <w:fldChar w:fldCharType="separate"/>
            </w:r>
            <w:r>
              <w:rPr>
                <w:noProof/>
                <w:webHidden/>
              </w:rPr>
              <w:t>13</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20" w:history="1">
            <w:r w:rsidRPr="00F92173">
              <w:rPr>
                <w:rStyle w:val="Hipervnculo"/>
                <w:rFonts w:ascii="Arial" w:eastAsia="Times New Roman" w:hAnsi="Arial" w:cs="Arial"/>
                <w:noProof/>
              </w:rPr>
              <w:t>2.2</w:t>
            </w:r>
            <w:r>
              <w:rPr>
                <w:rFonts w:asciiTheme="minorHAnsi" w:eastAsiaTheme="minorEastAsia" w:hAnsiTheme="minorHAnsi" w:cstheme="minorBidi"/>
                <w:noProof/>
                <w:lang w:eastAsia="es-ES"/>
              </w:rPr>
              <w:tab/>
            </w:r>
            <w:r w:rsidRPr="00F92173">
              <w:rPr>
                <w:rStyle w:val="Hipervnculo"/>
                <w:rFonts w:ascii="Arial" w:eastAsia="Times New Roman" w:hAnsi="Arial" w:cs="Arial"/>
                <w:noProof/>
              </w:rPr>
              <w:t>Entorno socioeconómico</w:t>
            </w:r>
            <w:r>
              <w:rPr>
                <w:noProof/>
                <w:webHidden/>
              </w:rPr>
              <w:tab/>
            </w:r>
            <w:r>
              <w:rPr>
                <w:noProof/>
                <w:webHidden/>
              </w:rPr>
              <w:fldChar w:fldCharType="begin"/>
            </w:r>
            <w:r>
              <w:rPr>
                <w:noProof/>
                <w:webHidden/>
              </w:rPr>
              <w:instrText xml:space="preserve"> PAGEREF _Toc389666620 \h </w:instrText>
            </w:r>
            <w:r>
              <w:rPr>
                <w:noProof/>
                <w:webHidden/>
              </w:rPr>
            </w:r>
            <w:r>
              <w:rPr>
                <w:noProof/>
                <w:webHidden/>
              </w:rPr>
              <w:fldChar w:fldCharType="separate"/>
            </w:r>
            <w:r>
              <w:rPr>
                <w:noProof/>
                <w:webHidden/>
              </w:rPr>
              <w:t>18</w:t>
            </w:r>
            <w:r>
              <w:rPr>
                <w:noProof/>
                <w:webHidden/>
              </w:rPr>
              <w:fldChar w:fldCharType="end"/>
            </w:r>
          </w:hyperlink>
        </w:p>
        <w:p w:rsidR="00661885" w:rsidRDefault="00661885">
          <w:pPr>
            <w:pStyle w:val="TDC1"/>
            <w:tabs>
              <w:tab w:val="right" w:leader="dot" w:pos="8828"/>
            </w:tabs>
            <w:rPr>
              <w:rFonts w:asciiTheme="minorHAnsi" w:eastAsiaTheme="minorEastAsia" w:hAnsiTheme="minorHAnsi" w:cstheme="minorBidi"/>
              <w:noProof/>
              <w:lang w:eastAsia="es-ES"/>
            </w:rPr>
          </w:pPr>
          <w:hyperlink w:anchor="_Toc389666621" w:history="1">
            <w:r w:rsidRPr="00F92173">
              <w:rPr>
                <w:rStyle w:val="Hipervnculo"/>
                <w:rFonts w:ascii="Arial" w:eastAsia="Times New Roman" w:hAnsi="Arial" w:cs="Arial"/>
                <w:b/>
                <w:bCs/>
                <w:noProof/>
              </w:rPr>
              <w:t>3. Diagnóstico departamental del mercado laboral</w:t>
            </w:r>
            <w:r>
              <w:rPr>
                <w:noProof/>
                <w:webHidden/>
              </w:rPr>
              <w:tab/>
            </w:r>
            <w:r>
              <w:rPr>
                <w:noProof/>
                <w:webHidden/>
              </w:rPr>
              <w:fldChar w:fldCharType="begin"/>
            </w:r>
            <w:r>
              <w:rPr>
                <w:noProof/>
                <w:webHidden/>
              </w:rPr>
              <w:instrText xml:space="preserve"> PAGEREF _Toc389666621 \h </w:instrText>
            </w:r>
            <w:r>
              <w:rPr>
                <w:noProof/>
                <w:webHidden/>
              </w:rPr>
            </w:r>
            <w:r>
              <w:rPr>
                <w:noProof/>
                <w:webHidden/>
              </w:rPr>
              <w:fldChar w:fldCharType="separate"/>
            </w:r>
            <w:r>
              <w:rPr>
                <w:noProof/>
                <w:webHidden/>
              </w:rPr>
              <w:t>22</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2" w:history="1">
            <w:r w:rsidRPr="00F92173">
              <w:rPr>
                <w:rStyle w:val="Hipervnculo"/>
                <w:rFonts w:ascii="Arial" w:hAnsi="Arial" w:cs="Arial"/>
                <w:noProof/>
              </w:rPr>
              <w:t>3.1 Magnitud del empleo y el trabajo</w:t>
            </w:r>
            <w:r>
              <w:rPr>
                <w:noProof/>
                <w:webHidden/>
              </w:rPr>
              <w:tab/>
            </w:r>
            <w:r>
              <w:rPr>
                <w:noProof/>
                <w:webHidden/>
              </w:rPr>
              <w:fldChar w:fldCharType="begin"/>
            </w:r>
            <w:r>
              <w:rPr>
                <w:noProof/>
                <w:webHidden/>
              </w:rPr>
              <w:instrText xml:space="preserve"> PAGEREF _Toc389666622 \h </w:instrText>
            </w:r>
            <w:r>
              <w:rPr>
                <w:noProof/>
                <w:webHidden/>
              </w:rPr>
            </w:r>
            <w:r>
              <w:rPr>
                <w:noProof/>
                <w:webHidden/>
              </w:rPr>
              <w:fldChar w:fldCharType="separate"/>
            </w:r>
            <w:r>
              <w:rPr>
                <w:noProof/>
                <w:webHidden/>
              </w:rPr>
              <w:t>23</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3" w:history="1">
            <w:r w:rsidRPr="00F92173">
              <w:rPr>
                <w:rStyle w:val="Hipervnculo"/>
                <w:rFonts w:ascii="Arial" w:hAnsi="Arial" w:cs="Arial"/>
                <w:noProof/>
              </w:rPr>
              <w:t>3.2 Calidad del empleo y el trabajo</w:t>
            </w:r>
            <w:r>
              <w:rPr>
                <w:noProof/>
                <w:webHidden/>
              </w:rPr>
              <w:tab/>
            </w:r>
            <w:r>
              <w:rPr>
                <w:noProof/>
                <w:webHidden/>
              </w:rPr>
              <w:fldChar w:fldCharType="begin"/>
            </w:r>
            <w:r>
              <w:rPr>
                <w:noProof/>
                <w:webHidden/>
              </w:rPr>
              <w:instrText xml:space="preserve"> PAGEREF _Toc389666623 \h </w:instrText>
            </w:r>
            <w:r>
              <w:rPr>
                <w:noProof/>
                <w:webHidden/>
              </w:rPr>
            </w:r>
            <w:r>
              <w:rPr>
                <w:noProof/>
                <w:webHidden/>
              </w:rPr>
              <w:fldChar w:fldCharType="separate"/>
            </w:r>
            <w:r>
              <w:rPr>
                <w:noProof/>
                <w:webHidden/>
              </w:rPr>
              <w:t>35</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4" w:history="1">
            <w:r w:rsidRPr="00F92173">
              <w:rPr>
                <w:rStyle w:val="Hipervnculo"/>
                <w:rFonts w:ascii="Arial" w:hAnsi="Arial" w:cs="Arial"/>
                <w:noProof/>
              </w:rPr>
              <w:t>3.3 Estatus del empleo en grupos poblacionales vulnerables del departamento</w:t>
            </w:r>
            <w:r>
              <w:rPr>
                <w:noProof/>
                <w:webHidden/>
              </w:rPr>
              <w:tab/>
            </w:r>
            <w:r>
              <w:rPr>
                <w:noProof/>
                <w:webHidden/>
              </w:rPr>
              <w:fldChar w:fldCharType="begin"/>
            </w:r>
            <w:r>
              <w:rPr>
                <w:noProof/>
                <w:webHidden/>
              </w:rPr>
              <w:instrText xml:space="preserve"> PAGEREF _Toc389666624 \h </w:instrText>
            </w:r>
            <w:r>
              <w:rPr>
                <w:noProof/>
                <w:webHidden/>
              </w:rPr>
            </w:r>
            <w:r>
              <w:rPr>
                <w:noProof/>
                <w:webHidden/>
              </w:rPr>
              <w:fldChar w:fldCharType="separate"/>
            </w:r>
            <w:r>
              <w:rPr>
                <w:noProof/>
                <w:webHidden/>
              </w:rPr>
              <w:t>38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5" w:history="1">
            <w:r w:rsidRPr="00F92173">
              <w:rPr>
                <w:rStyle w:val="Hipervnculo"/>
                <w:rFonts w:ascii="Arial" w:hAnsi="Arial" w:cs="Arial"/>
                <w:noProof/>
              </w:rPr>
              <w:t>3.4 Derechos laborales y conflictividad</w:t>
            </w:r>
            <w:r>
              <w:rPr>
                <w:noProof/>
                <w:webHidden/>
              </w:rPr>
              <w:tab/>
            </w:r>
            <w:r>
              <w:rPr>
                <w:noProof/>
                <w:webHidden/>
              </w:rPr>
              <w:fldChar w:fldCharType="begin"/>
            </w:r>
            <w:r>
              <w:rPr>
                <w:noProof/>
                <w:webHidden/>
              </w:rPr>
              <w:instrText xml:space="preserve"> PAGEREF _Toc389666625 \h </w:instrText>
            </w:r>
            <w:r>
              <w:rPr>
                <w:noProof/>
                <w:webHidden/>
              </w:rPr>
            </w:r>
            <w:r>
              <w:rPr>
                <w:noProof/>
                <w:webHidden/>
              </w:rPr>
              <w:fldChar w:fldCharType="separate"/>
            </w:r>
            <w:r>
              <w:rPr>
                <w:noProof/>
                <w:webHidden/>
              </w:rPr>
              <w:t>41</w:t>
            </w:r>
            <w:r>
              <w:rPr>
                <w:noProof/>
                <w:webHidden/>
              </w:rPr>
              <w:fldChar w:fldCharType="end"/>
            </w:r>
          </w:hyperlink>
        </w:p>
        <w:p w:rsidR="00661885" w:rsidRDefault="00661885">
          <w:pPr>
            <w:pStyle w:val="TDC1"/>
            <w:tabs>
              <w:tab w:val="right" w:leader="dot" w:pos="8828"/>
            </w:tabs>
            <w:rPr>
              <w:rFonts w:asciiTheme="minorHAnsi" w:eastAsiaTheme="minorEastAsia" w:hAnsiTheme="minorHAnsi" w:cstheme="minorBidi"/>
              <w:noProof/>
              <w:lang w:eastAsia="es-ES"/>
            </w:rPr>
          </w:pPr>
          <w:hyperlink w:anchor="_Toc389666626" w:history="1">
            <w:r w:rsidRPr="00F92173">
              <w:rPr>
                <w:rStyle w:val="Hipervnculo"/>
                <w:rFonts w:ascii="Arial" w:eastAsia="Times New Roman" w:hAnsi="Arial" w:cs="Arial"/>
                <w:b/>
                <w:bCs/>
                <w:noProof/>
              </w:rPr>
              <w:t>4. Factores que afectan el mercado laboral en el departamento</w:t>
            </w:r>
            <w:r>
              <w:rPr>
                <w:noProof/>
                <w:webHidden/>
              </w:rPr>
              <w:tab/>
            </w:r>
            <w:r>
              <w:rPr>
                <w:noProof/>
                <w:webHidden/>
              </w:rPr>
              <w:fldChar w:fldCharType="begin"/>
            </w:r>
            <w:r>
              <w:rPr>
                <w:noProof/>
                <w:webHidden/>
              </w:rPr>
              <w:instrText xml:space="preserve"> PAGEREF _Toc389666626 \h </w:instrText>
            </w:r>
            <w:r>
              <w:rPr>
                <w:noProof/>
                <w:webHidden/>
              </w:rPr>
            </w:r>
            <w:r>
              <w:rPr>
                <w:noProof/>
                <w:webHidden/>
              </w:rPr>
              <w:fldChar w:fldCharType="separate"/>
            </w:r>
            <w:r>
              <w:rPr>
                <w:noProof/>
                <w:webHidden/>
              </w:rPr>
              <w:t>46</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7" w:history="1">
            <w:r w:rsidRPr="00F92173">
              <w:rPr>
                <w:rStyle w:val="Hipervnculo"/>
                <w:rFonts w:ascii="Arial" w:hAnsi="Arial" w:cs="Arial"/>
                <w:noProof/>
              </w:rPr>
              <w:t>4.1 Crecimiento económico y demanda</w:t>
            </w:r>
            <w:r>
              <w:rPr>
                <w:noProof/>
                <w:webHidden/>
              </w:rPr>
              <w:tab/>
            </w:r>
            <w:r>
              <w:rPr>
                <w:noProof/>
                <w:webHidden/>
              </w:rPr>
              <w:fldChar w:fldCharType="begin"/>
            </w:r>
            <w:r>
              <w:rPr>
                <w:noProof/>
                <w:webHidden/>
              </w:rPr>
              <w:instrText xml:space="preserve"> PAGEREF _Toc389666627 \h </w:instrText>
            </w:r>
            <w:r>
              <w:rPr>
                <w:noProof/>
                <w:webHidden/>
              </w:rPr>
            </w:r>
            <w:r>
              <w:rPr>
                <w:noProof/>
                <w:webHidden/>
              </w:rPr>
              <w:fldChar w:fldCharType="separate"/>
            </w:r>
            <w:r>
              <w:rPr>
                <w:noProof/>
                <w:webHidden/>
              </w:rPr>
              <w:t>46</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8" w:history="1">
            <w:r w:rsidRPr="00F92173">
              <w:rPr>
                <w:rStyle w:val="Hipervnculo"/>
                <w:rFonts w:ascii="Arial" w:hAnsi="Arial" w:cs="Arial"/>
                <w:noProof/>
              </w:rPr>
              <w:t>4.2 Desarrollo empresarial y creación de emprendimientos sostenibles</w:t>
            </w:r>
            <w:r>
              <w:rPr>
                <w:noProof/>
                <w:webHidden/>
              </w:rPr>
              <w:tab/>
            </w:r>
            <w:r>
              <w:rPr>
                <w:noProof/>
                <w:webHidden/>
              </w:rPr>
              <w:fldChar w:fldCharType="begin"/>
            </w:r>
            <w:r>
              <w:rPr>
                <w:noProof/>
                <w:webHidden/>
              </w:rPr>
              <w:instrText xml:space="preserve"> PAGEREF _Toc389666628 \h </w:instrText>
            </w:r>
            <w:r>
              <w:rPr>
                <w:noProof/>
                <w:webHidden/>
              </w:rPr>
            </w:r>
            <w:r>
              <w:rPr>
                <w:noProof/>
                <w:webHidden/>
              </w:rPr>
              <w:fldChar w:fldCharType="separate"/>
            </w:r>
            <w:r>
              <w:rPr>
                <w:noProof/>
                <w:webHidden/>
              </w:rPr>
              <w:t>47</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29" w:history="1">
            <w:r w:rsidRPr="00F92173">
              <w:rPr>
                <w:rStyle w:val="Hipervnculo"/>
                <w:rFonts w:ascii="Arial" w:hAnsi="Arial" w:cs="Arial"/>
                <w:noProof/>
              </w:rPr>
              <w:t>4.3 Niveles de educación general y formación laboral de la población</w:t>
            </w:r>
            <w:r>
              <w:rPr>
                <w:noProof/>
                <w:webHidden/>
              </w:rPr>
              <w:tab/>
            </w:r>
            <w:r>
              <w:rPr>
                <w:noProof/>
                <w:webHidden/>
              </w:rPr>
              <w:fldChar w:fldCharType="begin"/>
            </w:r>
            <w:r>
              <w:rPr>
                <w:noProof/>
                <w:webHidden/>
              </w:rPr>
              <w:instrText xml:space="preserve"> PAGEREF _Toc389666629 \h </w:instrText>
            </w:r>
            <w:r>
              <w:rPr>
                <w:noProof/>
                <w:webHidden/>
              </w:rPr>
            </w:r>
            <w:r>
              <w:rPr>
                <w:noProof/>
                <w:webHidden/>
              </w:rPr>
              <w:fldChar w:fldCharType="separate"/>
            </w:r>
            <w:r>
              <w:rPr>
                <w:noProof/>
                <w:webHidden/>
              </w:rPr>
              <w:t>48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30" w:history="1">
            <w:r w:rsidRPr="00F92173">
              <w:rPr>
                <w:rStyle w:val="Hipervnculo"/>
                <w:rFonts w:ascii="Arial" w:hAnsi="Arial" w:cs="Arial"/>
                <w:noProof/>
              </w:rPr>
              <w:t>4.4 La demanda y la oferta laboral</w:t>
            </w:r>
            <w:r>
              <w:rPr>
                <w:noProof/>
                <w:webHidden/>
              </w:rPr>
              <w:tab/>
            </w:r>
            <w:r>
              <w:rPr>
                <w:noProof/>
                <w:webHidden/>
              </w:rPr>
              <w:fldChar w:fldCharType="begin"/>
            </w:r>
            <w:r>
              <w:rPr>
                <w:noProof/>
                <w:webHidden/>
              </w:rPr>
              <w:instrText xml:space="preserve"> PAGEREF _Toc389666630 \h </w:instrText>
            </w:r>
            <w:r>
              <w:rPr>
                <w:noProof/>
                <w:webHidden/>
              </w:rPr>
            </w:r>
            <w:r>
              <w:rPr>
                <w:noProof/>
                <w:webHidden/>
              </w:rPr>
              <w:fldChar w:fldCharType="separate"/>
            </w:r>
            <w:r>
              <w:rPr>
                <w:noProof/>
                <w:webHidden/>
              </w:rPr>
              <w:t>48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31" w:history="1">
            <w:r w:rsidRPr="00F92173">
              <w:rPr>
                <w:rStyle w:val="Hipervnculo"/>
                <w:rFonts w:ascii="Arial" w:eastAsia="Times New Roman" w:hAnsi="Arial" w:cs="Arial"/>
                <w:noProof/>
              </w:rPr>
              <w:t>4.5 Articulación institucional y capacidad de las entidades territoriales</w:t>
            </w:r>
            <w:r>
              <w:rPr>
                <w:noProof/>
                <w:webHidden/>
              </w:rPr>
              <w:tab/>
            </w:r>
            <w:r>
              <w:rPr>
                <w:noProof/>
                <w:webHidden/>
              </w:rPr>
              <w:fldChar w:fldCharType="begin"/>
            </w:r>
            <w:r>
              <w:rPr>
                <w:noProof/>
                <w:webHidden/>
              </w:rPr>
              <w:instrText xml:space="preserve"> PAGEREF _Toc389666631 \h </w:instrText>
            </w:r>
            <w:r>
              <w:rPr>
                <w:noProof/>
                <w:webHidden/>
              </w:rPr>
            </w:r>
            <w:r>
              <w:rPr>
                <w:noProof/>
                <w:webHidden/>
              </w:rPr>
              <w:fldChar w:fldCharType="separate"/>
            </w:r>
            <w:r>
              <w:rPr>
                <w:noProof/>
                <w:webHidden/>
              </w:rPr>
              <w:t>49</w:t>
            </w:r>
            <w:r>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32" w:history="1">
            <w:r w:rsidRPr="00F92173">
              <w:rPr>
                <w:rStyle w:val="Hipervnculo"/>
                <w:rFonts w:ascii="Arial" w:eastAsia="Times New Roman" w:hAnsi="Arial" w:cs="Arial"/>
                <w:b/>
                <w:bCs/>
                <w:noProof/>
              </w:rPr>
              <w:t>5</w:t>
            </w:r>
            <w:r>
              <w:rPr>
                <w:rFonts w:asciiTheme="minorHAnsi" w:eastAsiaTheme="minorEastAsia" w:hAnsiTheme="minorHAnsi" w:cstheme="minorBidi"/>
                <w:noProof/>
                <w:lang w:eastAsia="es-ES"/>
              </w:rPr>
              <w:tab/>
            </w:r>
            <w:r w:rsidRPr="00F92173">
              <w:rPr>
                <w:rStyle w:val="Hipervnculo"/>
                <w:rFonts w:ascii="Arial" w:eastAsia="Times New Roman" w:hAnsi="Arial" w:cs="Arial"/>
                <w:b/>
                <w:bCs/>
                <w:noProof/>
              </w:rPr>
              <w:t>Acciones en marcha para resolver las problemáticas del mercado laboral en el departamento</w:t>
            </w:r>
            <w:r>
              <w:rPr>
                <w:noProof/>
                <w:webHidden/>
              </w:rPr>
              <w:tab/>
            </w:r>
            <w:r>
              <w:rPr>
                <w:noProof/>
                <w:webHidden/>
              </w:rPr>
              <w:fldChar w:fldCharType="begin"/>
            </w:r>
            <w:r>
              <w:rPr>
                <w:noProof/>
                <w:webHidden/>
              </w:rPr>
              <w:instrText xml:space="preserve"> PAGEREF _Toc389666632 \h </w:instrText>
            </w:r>
            <w:r>
              <w:rPr>
                <w:noProof/>
                <w:webHidden/>
              </w:rPr>
            </w:r>
            <w:r>
              <w:rPr>
                <w:noProof/>
                <w:webHidden/>
              </w:rPr>
              <w:fldChar w:fldCharType="separate"/>
            </w:r>
            <w:r>
              <w:rPr>
                <w:noProof/>
                <w:webHidden/>
              </w:rPr>
              <w:t>51</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33" w:history="1">
            <w:r w:rsidRPr="00F92173">
              <w:rPr>
                <w:rStyle w:val="Hipervnculo"/>
                <w:rFonts w:ascii="Arial" w:hAnsi="Arial" w:cs="Arial"/>
                <w:noProof/>
              </w:rPr>
              <w:t>5.1</w:t>
            </w:r>
            <w:r>
              <w:rPr>
                <w:rFonts w:asciiTheme="minorHAnsi" w:eastAsiaTheme="minorEastAsia" w:hAnsiTheme="minorHAnsi" w:cstheme="minorBidi"/>
                <w:noProof/>
                <w:lang w:eastAsia="es-ES"/>
              </w:rPr>
              <w:tab/>
            </w:r>
            <w:r w:rsidRPr="00F92173">
              <w:rPr>
                <w:rStyle w:val="Hipervnculo"/>
                <w:rFonts w:ascii="Arial" w:hAnsi="Arial" w:cs="Arial"/>
                <w:noProof/>
              </w:rPr>
              <w:t>Presencia institucional</w:t>
            </w:r>
            <w:r>
              <w:rPr>
                <w:noProof/>
                <w:webHidden/>
              </w:rPr>
              <w:tab/>
            </w:r>
            <w:r>
              <w:rPr>
                <w:noProof/>
                <w:webHidden/>
              </w:rPr>
              <w:fldChar w:fldCharType="begin"/>
            </w:r>
            <w:r>
              <w:rPr>
                <w:noProof/>
                <w:webHidden/>
              </w:rPr>
              <w:instrText xml:space="preserve"> PAGEREF _Toc389666633 \h </w:instrText>
            </w:r>
            <w:r>
              <w:rPr>
                <w:noProof/>
                <w:webHidden/>
              </w:rPr>
            </w:r>
            <w:r>
              <w:rPr>
                <w:noProof/>
                <w:webHidden/>
              </w:rPr>
              <w:fldChar w:fldCharType="separate"/>
            </w:r>
            <w:r>
              <w:rPr>
                <w:noProof/>
                <w:webHidden/>
              </w:rPr>
              <w:t>51</w:t>
            </w:r>
            <w:r>
              <w:rPr>
                <w:noProof/>
                <w:webHidden/>
              </w:rPr>
              <w:fldChar w:fldCharType="end"/>
            </w:r>
          </w:hyperlink>
        </w:p>
        <w:p w:rsidR="00661885" w:rsidRDefault="00661885">
          <w:pPr>
            <w:pStyle w:val="TDC3"/>
            <w:tabs>
              <w:tab w:val="right" w:leader="dot" w:pos="8828"/>
            </w:tabs>
            <w:rPr>
              <w:rFonts w:asciiTheme="minorHAnsi" w:eastAsiaTheme="minorEastAsia" w:hAnsiTheme="minorHAnsi" w:cstheme="minorBidi"/>
              <w:noProof/>
              <w:lang w:eastAsia="es-ES"/>
            </w:rPr>
          </w:pPr>
          <w:hyperlink w:anchor="_Toc389666634" w:history="1">
            <w:r w:rsidRPr="00F92173">
              <w:rPr>
                <w:rStyle w:val="Hipervnculo"/>
                <w:rFonts w:ascii="Arial" w:hAnsi="Arial" w:cs="Arial"/>
                <w:noProof/>
              </w:rPr>
              <w:t>5.1.1 Capacidad institucional de las entidades territoriales</w:t>
            </w:r>
            <w:r>
              <w:rPr>
                <w:noProof/>
                <w:webHidden/>
              </w:rPr>
              <w:tab/>
            </w:r>
            <w:r>
              <w:rPr>
                <w:noProof/>
                <w:webHidden/>
              </w:rPr>
              <w:fldChar w:fldCharType="begin"/>
            </w:r>
            <w:r>
              <w:rPr>
                <w:noProof/>
                <w:webHidden/>
              </w:rPr>
              <w:instrText xml:space="preserve"> PAGEREF _Toc389666634 \h </w:instrText>
            </w:r>
            <w:r>
              <w:rPr>
                <w:noProof/>
                <w:webHidden/>
              </w:rPr>
            </w:r>
            <w:r>
              <w:rPr>
                <w:noProof/>
                <w:webHidden/>
              </w:rPr>
              <w:fldChar w:fldCharType="separate"/>
            </w:r>
            <w:r>
              <w:rPr>
                <w:noProof/>
                <w:webHidden/>
              </w:rPr>
              <w:t>53</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35" w:history="1">
            <w:r w:rsidRPr="00F92173">
              <w:rPr>
                <w:rStyle w:val="Hipervnculo"/>
                <w:rFonts w:ascii="Arial" w:hAnsi="Arial" w:cs="Arial"/>
                <w:iCs/>
                <w:noProof/>
              </w:rPr>
              <w:t>5.2.</w:t>
            </w:r>
            <w:r>
              <w:rPr>
                <w:rFonts w:asciiTheme="minorHAnsi" w:eastAsiaTheme="minorEastAsia" w:hAnsiTheme="minorHAnsi" w:cstheme="minorBidi"/>
                <w:noProof/>
                <w:lang w:eastAsia="es-ES"/>
              </w:rPr>
              <w:tab/>
            </w:r>
            <w:r w:rsidRPr="00F92173">
              <w:rPr>
                <w:rStyle w:val="Hipervnculo"/>
                <w:rFonts w:ascii="Arial" w:hAnsi="Arial" w:cs="Arial"/>
                <w:noProof/>
              </w:rPr>
              <w:t>Programas y proyectos en curso para promover el empleo</w:t>
            </w:r>
            <w:r>
              <w:rPr>
                <w:noProof/>
                <w:webHidden/>
              </w:rPr>
              <w:tab/>
            </w:r>
            <w:r>
              <w:rPr>
                <w:noProof/>
                <w:webHidden/>
              </w:rPr>
              <w:fldChar w:fldCharType="begin"/>
            </w:r>
            <w:r>
              <w:rPr>
                <w:noProof/>
                <w:webHidden/>
              </w:rPr>
              <w:instrText xml:space="preserve"> PAGEREF _Toc389666635 \h </w:instrText>
            </w:r>
            <w:r>
              <w:rPr>
                <w:noProof/>
                <w:webHidden/>
              </w:rPr>
            </w:r>
            <w:r>
              <w:rPr>
                <w:noProof/>
                <w:webHidden/>
              </w:rPr>
              <w:fldChar w:fldCharType="separate"/>
            </w:r>
            <w:r>
              <w:rPr>
                <w:noProof/>
                <w:webHidden/>
              </w:rPr>
              <w:t>54</w:t>
            </w:r>
            <w:r>
              <w:rPr>
                <w:noProof/>
                <w:webHidden/>
              </w:rPr>
              <w:fldChar w:fldCharType="end"/>
            </w:r>
          </w:hyperlink>
        </w:p>
        <w:p w:rsidR="00661885" w:rsidRDefault="00661885">
          <w:pPr>
            <w:pStyle w:val="TDC3"/>
            <w:tabs>
              <w:tab w:val="right" w:leader="dot" w:pos="8828"/>
            </w:tabs>
            <w:rPr>
              <w:rFonts w:asciiTheme="minorHAnsi" w:eastAsiaTheme="minorEastAsia" w:hAnsiTheme="minorHAnsi" w:cstheme="minorBidi"/>
              <w:noProof/>
              <w:lang w:eastAsia="es-ES"/>
            </w:rPr>
          </w:pPr>
          <w:hyperlink w:anchor="_Toc389666636" w:history="1">
            <w:r w:rsidRPr="00F92173">
              <w:rPr>
                <w:rStyle w:val="Hipervnculo"/>
                <w:rFonts w:ascii="Arial" w:hAnsi="Arial" w:cs="Arial"/>
                <w:noProof/>
              </w:rPr>
              <w:t>5.2.1  Programas del Ministerio del Trabajo</w:t>
            </w:r>
            <w:r>
              <w:rPr>
                <w:noProof/>
                <w:webHidden/>
              </w:rPr>
              <w:tab/>
            </w:r>
            <w:r>
              <w:rPr>
                <w:noProof/>
                <w:webHidden/>
              </w:rPr>
              <w:fldChar w:fldCharType="begin"/>
            </w:r>
            <w:r>
              <w:rPr>
                <w:noProof/>
                <w:webHidden/>
              </w:rPr>
              <w:instrText xml:space="preserve"> PAGEREF _Toc389666636 \h </w:instrText>
            </w:r>
            <w:r>
              <w:rPr>
                <w:noProof/>
                <w:webHidden/>
              </w:rPr>
            </w:r>
            <w:r>
              <w:rPr>
                <w:noProof/>
                <w:webHidden/>
              </w:rPr>
              <w:fldChar w:fldCharType="separate"/>
            </w:r>
            <w:r>
              <w:rPr>
                <w:noProof/>
                <w:webHidden/>
              </w:rPr>
              <w:t>54</w:t>
            </w:r>
            <w:r>
              <w:rPr>
                <w:noProof/>
                <w:webHidden/>
              </w:rPr>
              <w:fldChar w:fldCharType="end"/>
            </w:r>
          </w:hyperlink>
        </w:p>
        <w:p w:rsidR="00661885" w:rsidRDefault="00661885">
          <w:pPr>
            <w:pStyle w:val="TDC3"/>
            <w:tabs>
              <w:tab w:val="right" w:leader="dot" w:pos="8828"/>
            </w:tabs>
            <w:rPr>
              <w:rFonts w:asciiTheme="minorHAnsi" w:eastAsiaTheme="minorEastAsia" w:hAnsiTheme="minorHAnsi" w:cstheme="minorBidi"/>
              <w:noProof/>
              <w:lang w:eastAsia="es-ES"/>
            </w:rPr>
          </w:pPr>
          <w:hyperlink w:anchor="_Toc389666637" w:history="1">
            <w:r w:rsidRPr="00F92173">
              <w:rPr>
                <w:rStyle w:val="Hipervnculo"/>
                <w:rFonts w:ascii="Arial" w:hAnsi="Arial" w:cs="Arial"/>
                <w:noProof/>
              </w:rPr>
              <w:t>5.2.2 Otros programas y proyectos en curso para promover el empleo</w:t>
            </w:r>
            <w:r>
              <w:rPr>
                <w:noProof/>
                <w:webHidden/>
              </w:rPr>
              <w:tab/>
            </w:r>
            <w:r>
              <w:rPr>
                <w:noProof/>
                <w:webHidden/>
              </w:rPr>
              <w:fldChar w:fldCharType="begin"/>
            </w:r>
            <w:r>
              <w:rPr>
                <w:noProof/>
                <w:webHidden/>
              </w:rPr>
              <w:instrText xml:space="preserve"> PAGEREF _Toc389666637 \h </w:instrText>
            </w:r>
            <w:r>
              <w:rPr>
                <w:noProof/>
                <w:webHidden/>
              </w:rPr>
            </w:r>
            <w:r>
              <w:rPr>
                <w:noProof/>
                <w:webHidden/>
              </w:rPr>
              <w:fldChar w:fldCharType="separate"/>
            </w:r>
            <w:r>
              <w:rPr>
                <w:noProof/>
                <w:webHidden/>
              </w:rPr>
              <w:t>57</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38" w:history="1">
            <w:r w:rsidRPr="00F92173">
              <w:rPr>
                <w:rStyle w:val="Hipervnculo"/>
                <w:rFonts w:ascii="Arial" w:hAnsi="Arial" w:cs="Arial"/>
                <w:noProof/>
              </w:rPr>
              <w:t>5.3.</w:t>
            </w:r>
            <w:r>
              <w:rPr>
                <w:rFonts w:asciiTheme="minorHAnsi" w:eastAsiaTheme="minorEastAsia" w:hAnsiTheme="minorHAnsi" w:cstheme="minorBidi"/>
                <w:noProof/>
                <w:lang w:eastAsia="es-ES"/>
              </w:rPr>
              <w:tab/>
            </w:r>
            <w:r w:rsidRPr="00F92173">
              <w:rPr>
                <w:rStyle w:val="Hipervnculo"/>
                <w:rFonts w:ascii="Arial" w:hAnsi="Arial" w:cs="Arial"/>
                <w:noProof/>
              </w:rPr>
              <w:t>Coordinación institucional de las políticas laborales</w:t>
            </w:r>
            <w:r>
              <w:rPr>
                <w:noProof/>
                <w:webHidden/>
              </w:rPr>
              <w:tab/>
            </w:r>
            <w:r>
              <w:rPr>
                <w:noProof/>
                <w:webHidden/>
              </w:rPr>
              <w:fldChar w:fldCharType="begin"/>
            </w:r>
            <w:r>
              <w:rPr>
                <w:noProof/>
                <w:webHidden/>
              </w:rPr>
              <w:instrText xml:space="preserve"> PAGEREF _Toc389666638 \h </w:instrText>
            </w:r>
            <w:r>
              <w:rPr>
                <w:noProof/>
                <w:webHidden/>
              </w:rPr>
            </w:r>
            <w:r>
              <w:rPr>
                <w:noProof/>
                <w:webHidden/>
              </w:rPr>
              <w:fldChar w:fldCharType="separate"/>
            </w:r>
            <w:r>
              <w:rPr>
                <w:noProof/>
                <w:webHidden/>
              </w:rPr>
              <w:t>61</w:t>
            </w:r>
            <w:r>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39" w:history="1">
            <w:r w:rsidRPr="00F92173">
              <w:rPr>
                <w:rStyle w:val="Hipervnculo"/>
                <w:rFonts w:ascii="Arial" w:hAnsi="Arial" w:cs="Arial"/>
                <w:noProof/>
              </w:rPr>
              <w:t>6.</w:t>
            </w:r>
            <w:r>
              <w:rPr>
                <w:rFonts w:asciiTheme="minorHAnsi" w:eastAsiaTheme="minorEastAsia" w:hAnsiTheme="minorHAnsi" w:cstheme="minorBidi"/>
                <w:noProof/>
                <w:lang w:eastAsia="es-ES"/>
              </w:rPr>
              <w:tab/>
            </w:r>
            <w:r w:rsidRPr="00F92173">
              <w:rPr>
                <w:rStyle w:val="Hipervnculo"/>
                <w:rFonts w:ascii="Arial" w:hAnsi="Arial" w:cs="Arial"/>
                <w:noProof/>
              </w:rPr>
              <w:t>Objetivos y metas del plan departamental de empleo</w:t>
            </w:r>
            <w:r>
              <w:rPr>
                <w:noProof/>
                <w:webHidden/>
              </w:rPr>
              <w:tab/>
            </w:r>
            <w:r>
              <w:rPr>
                <w:noProof/>
                <w:webHidden/>
              </w:rPr>
              <w:fldChar w:fldCharType="begin"/>
            </w:r>
            <w:r>
              <w:rPr>
                <w:noProof/>
                <w:webHidden/>
              </w:rPr>
              <w:instrText xml:space="preserve"> PAGEREF _Toc389666639 \h </w:instrText>
            </w:r>
            <w:r>
              <w:rPr>
                <w:noProof/>
                <w:webHidden/>
              </w:rPr>
            </w:r>
            <w:r>
              <w:rPr>
                <w:noProof/>
                <w:webHidden/>
              </w:rPr>
              <w:fldChar w:fldCharType="separate"/>
            </w:r>
            <w:r>
              <w:rPr>
                <w:noProof/>
                <w:webHidden/>
              </w:rPr>
              <w:t>62</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40" w:history="1">
            <w:r w:rsidRPr="00F92173">
              <w:rPr>
                <w:rStyle w:val="Hipervnculo"/>
                <w:rFonts w:ascii="Arial" w:hAnsi="Arial" w:cs="Arial"/>
                <w:noProof/>
              </w:rPr>
              <w:t>6.1</w:t>
            </w:r>
            <w:r>
              <w:rPr>
                <w:rFonts w:asciiTheme="minorHAnsi" w:eastAsiaTheme="minorEastAsia" w:hAnsiTheme="minorHAnsi" w:cstheme="minorBidi"/>
                <w:noProof/>
                <w:lang w:eastAsia="es-ES"/>
              </w:rPr>
              <w:tab/>
            </w:r>
            <w:r w:rsidRPr="00F92173">
              <w:rPr>
                <w:rStyle w:val="Hipervnculo"/>
                <w:rFonts w:ascii="Arial" w:hAnsi="Arial" w:cs="Arial"/>
                <w:noProof/>
              </w:rPr>
              <w:t>Objetivo general</w:t>
            </w:r>
            <w:r>
              <w:rPr>
                <w:noProof/>
                <w:webHidden/>
              </w:rPr>
              <w:tab/>
            </w:r>
            <w:r>
              <w:rPr>
                <w:noProof/>
                <w:webHidden/>
              </w:rPr>
              <w:fldChar w:fldCharType="begin"/>
            </w:r>
            <w:r>
              <w:rPr>
                <w:noProof/>
                <w:webHidden/>
              </w:rPr>
              <w:instrText xml:space="preserve"> PAGEREF _Toc389666640 \h </w:instrText>
            </w:r>
            <w:r>
              <w:rPr>
                <w:noProof/>
                <w:webHidden/>
              </w:rPr>
            </w:r>
            <w:r>
              <w:rPr>
                <w:noProof/>
                <w:webHidden/>
              </w:rPr>
              <w:fldChar w:fldCharType="separate"/>
            </w:r>
            <w:r>
              <w:rPr>
                <w:noProof/>
                <w:webHidden/>
              </w:rPr>
              <w:t>62</w:t>
            </w:r>
            <w:r>
              <w:rPr>
                <w:noProof/>
                <w:webHidden/>
              </w:rPr>
              <w:fldChar w:fldCharType="end"/>
            </w:r>
          </w:hyperlink>
        </w:p>
        <w:p w:rsidR="00661885" w:rsidRDefault="00661885">
          <w:pPr>
            <w:pStyle w:val="TDC2"/>
            <w:tabs>
              <w:tab w:val="left" w:pos="880"/>
              <w:tab w:val="right" w:leader="dot" w:pos="8828"/>
            </w:tabs>
            <w:rPr>
              <w:rFonts w:asciiTheme="minorHAnsi" w:eastAsiaTheme="minorEastAsia" w:hAnsiTheme="minorHAnsi" w:cstheme="minorBidi"/>
              <w:noProof/>
              <w:lang w:eastAsia="es-ES"/>
            </w:rPr>
          </w:pPr>
          <w:hyperlink w:anchor="_Toc389666641" w:history="1">
            <w:r w:rsidRPr="00F92173">
              <w:rPr>
                <w:rStyle w:val="Hipervnculo"/>
                <w:rFonts w:ascii="Arial" w:hAnsi="Arial" w:cs="Arial"/>
                <w:noProof/>
              </w:rPr>
              <w:t>6.2</w:t>
            </w:r>
            <w:r>
              <w:rPr>
                <w:rFonts w:asciiTheme="minorHAnsi" w:eastAsiaTheme="minorEastAsia" w:hAnsiTheme="minorHAnsi" w:cstheme="minorBidi"/>
                <w:noProof/>
                <w:lang w:eastAsia="es-ES"/>
              </w:rPr>
              <w:tab/>
            </w:r>
            <w:r w:rsidRPr="00F92173">
              <w:rPr>
                <w:rStyle w:val="Hipervnculo"/>
                <w:rFonts w:ascii="Arial" w:hAnsi="Arial" w:cs="Arial"/>
                <w:noProof/>
              </w:rPr>
              <w:t>Objetivos específicos</w:t>
            </w:r>
            <w:r>
              <w:rPr>
                <w:noProof/>
                <w:webHidden/>
              </w:rPr>
              <w:tab/>
            </w:r>
            <w:r>
              <w:rPr>
                <w:noProof/>
                <w:webHidden/>
              </w:rPr>
              <w:fldChar w:fldCharType="begin"/>
            </w:r>
            <w:r>
              <w:rPr>
                <w:noProof/>
                <w:webHidden/>
              </w:rPr>
              <w:instrText xml:space="preserve"> PAGEREF _Toc389666641 \h </w:instrText>
            </w:r>
            <w:r>
              <w:rPr>
                <w:noProof/>
                <w:webHidden/>
              </w:rPr>
            </w:r>
            <w:r>
              <w:rPr>
                <w:noProof/>
                <w:webHidden/>
              </w:rPr>
              <w:fldChar w:fldCharType="separate"/>
            </w:r>
            <w:r>
              <w:rPr>
                <w:noProof/>
                <w:webHidden/>
              </w:rPr>
              <w:t>62</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42" w:history="1">
            <w:r w:rsidRPr="00F92173">
              <w:rPr>
                <w:rStyle w:val="Hipervnculo"/>
                <w:rFonts w:ascii="Arial" w:hAnsi="Arial" w:cs="Arial"/>
                <w:noProof/>
              </w:rPr>
              <w:t>6.3 Metas e indicadores</w:t>
            </w:r>
            <w:r>
              <w:rPr>
                <w:noProof/>
                <w:webHidden/>
              </w:rPr>
              <w:tab/>
            </w:r>
            <w:r>
              <w:rPr>
                <w:noProof/>
                <w:webHidden/>
              </w:rPr>
              <w:fldChar w:fldCharType="begin"/>
            </w:r>
            <w:r>
              <w:rPr>
                <w:noProof/>
                <w:webHidden/>
              </w:rPr>
              <w:instrText xml:space="preserve"> PAGEREF _Toc389666642 \h </w:instrText>
            </w:r>
            <w:r>
              <w:rPr>
                <w:noProof/>
                <w:webHidden/>
              </w:rPr>
            </w:r>
            <w:r>
              <w:rPr>
                <w:noProof/>
                <w:webHidden/>
              </w:rPr>
              <w:fldChar w:fldCharType="separate"/>
            </w:r>
            <w:r>
              <w:rPr>
                <w:noProof/>
                <w:webHidden/>
              </w:rPr>
              <w:t>62</w:t>
            </w:r>
            <w:r>
              <w:rPr>
                <w:noProof/>
                <w:webHidden/>
              </w:rPr>
              <w:fldChar w:fldCharType="end"/>
            </w:r>
          </w:hyperlink>
        </w:p>
        <w:p w:rsidR="00661885" w:rsidRDefault="00661885">
          <w:pPr>
            <w:pStyle w:val="TDC3"/>
            <w:tabs>
              <w:tab w:val="right" w:leader="dot" w:pos="8828"/>
            </w:tabs>
            <w:rPr>
              <w:rFonts w:asciiTheme="minorHAnsi" w:eastAsiaTheme="minorEastAsia" w:hAnsiTheme="minorHAnsi" w:cstheme="minorBidi"/>
              <w:noProof/>
              <w:lang w:eastAsia="es-ES"/>
            </w:rPr>
          </w:pPr>
          <w:hyperlink w:anchor="_Toc389666643" w:history="1">
            <w:r w:rsidRPr="00F92173">
              <w:rPr>
                <w:rStyle w:val="Hipervnculo"/>
                <w:rFonts w:ascii="Arial" w:hAnsi="Arial" w:cs="Arial"/>
                <w:noProof/>
              </w:rPr>
              <w:t>6.3.1 Metas de gestión</w:t>
            </w:r>
            <w:r>
              <w:rPr>
                <w:noProof/>
                <w:webHidden/>
              </w:rPr>
              <w:tab/>
            </w:r>
            <w:r>
              <w:rPr>
                <w:noProof/>
                <w:webHidden/>
              </w:rPr>
              <w:fldChar w:fldCharType="begin"/>
            </w:r>
            <w:r>
              <w:rPr>
                <w:noProof/>
                <w:webHidden/>
              </w:rPr>
              <w:instrText xml:space="preserve"> PAGEREF _Toc389666643 \h </w:instrText>
            </w:r>
            <w:r>
              <w:rPr>
                <w:noProof/>
                <w:webHidden/>
              </w:rPr>
            </w:r>
            <w:r>
              <w:rPr>
                <w:noProof/>
                <w:webHidden/>
              </w:rPr>
              <w:fldChar w:fldCharType="separate"/>
            </w:r>
            <w:r>
              <w:rPr>
                <w:noProof/>
                <w:webHidden/>
              </w:rPr>
              <w:t>62</w:t>
            </w:r>
            <w:r>
              <w:rPr>
                <w:noProof/>
                <w:webHidden/>
              </w:rPr>
              <w:fldChar w:fldCharType="end"/>
            </w:r>
          </w:hyperlink>
        </w:p>
        <w:p w:rsidR="00661885" w:rsidRDefault="00661885">
          <w:pPr>
            <w:pStyle w:val="TDC3"/>
            <w:tabs>
              <w:tab w:val="right" w:leader="dot" w:pos="8828"/>
            </w:tabs>
            <w:rPr>
              <w:rFonts w:asciiTheme="minorHAnsi" w:eastAsiaTheme="minorEastAsia" w:hAnsiTheme="minorHAnsi" w:cstheme="minorBidi"/>
              <w:noProof/>
              <w:lang w:eastAsia="es-ES"/>
            </w:rPr>
          </w:pPr>
          <w:hyperlink w:anchor="_Toc389666644" w:history="1">
            <w:r w:rsidRPr="00F92173">
              <w:rPr>
                <w:rStyle w:val="Hipervnculo"/>
                <w:rFonts w:ascii="Arial" w:hAnsi="Arial" w:cs="Arial"/>
                <w:noProof/>
              </w:rPr>
              <w:t>6.3.2 Metas de producto</w:t>
            </w:r>
            <w:r>
              <w:rPr>
                <w:noProof/>
                <w:webHidden/>
              </w:rPr>
              <w:tab/>
            </w:r>
            <w:r>
              <w:rPr>
                <w:noProof/>
                <w:webHidden/>
              </w:rPr>
              <w:fldChar w:fldCharType="begin"/>
            </w:r>
            <w:r>
              <w:rPr>
                <w:noProof/>
                <w:webHidden/>
              </w:rPr>
              <w:instrText xml:space="preserve"> PAGEREF _Toc389666644 \h </w:instrText>
            </w:r>
            <w:r>
              <w:rPr>
                <w:noProof/>
                <w:webHidden/>
              </w:rPr>
            </w:r>
            <w:r>
              <w:rPr>
                <w:noProof/>
                <w:webHidden/>
              </w:rPr>
              <w:fldChar w:fldCharType="separate"/>
            </w:r>
            <w:r>
              <w:rPr>
                <w:noProof/>
                <w:webHidden/>
              </w:rPr>
              <w:t>63</w:t>
            </w:r>
            <w:r>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45" w:history="1">
            <w:r w:rsidRPr="00F92173">
              <w:rPr>
                <w:rStyle w:val="Hipervnculo"/>
                <w:rFonts w:ascii="Arial" w:hAnsi="Arial" w:cs="Arial"/>
                <w:b/>
                <w:bCs/>
                <w:noProof/>
              </w:rPr>
              <w:t>7.</w:t>
            </w:r>
            <w:r>
              <w:rPr>
                <w:rFonts w:asciiTheme="minorHAnsi" w:eastAsiaTheme="minorEastAsia" w:hAnsiTheme="minorHAnsi" w:cstheme="minorBidi"/>
                <w:noProof/>
                <w:lang w:eastAsia="es-ES"/>
              </w:rPr>
              <w:tab/>
            </w:r>
            <w:r w:rsidRPr="00F92173">
              <w:rPr>
                <w:rStyle w:val="Hipervnculo"/>
                <w:rFonts w:ascii="Arial" w:hAnsi="Arial" w:cs="Arial"/>
                <w:b/>
                <w:bCs/>
                <w:noProof/>
              </w:rPr>
              <w:t>Ejes estratégicos, programas y proyectos del Plan Departamental de Empleo</w:t>
            </w:r>
            <w:r>
              <w:rPr>
                <w:noProof/>
                <w:webHidden/>
              </w:rPr>
              <w:tab/>
            </w:r>
            <w:r>
              <w:rPr>
                <w:noProof/>
                <w:webHidden/>
              </w:rPr>
              <w:fldChar w:fldCharType="begin"/>
            </w:r>
            <w:r>
              <w:rPr>
                <w:noProof/>
                <w:webHidden/>
              </w:rPr>
              <w:instrText xml:space="preserve"> PAGEREF _Toc389666645 \h </w:instrText>
            </w:r>
            <w:r>
              <w:rPr>
                <w:noProof/>
                <w:webHidden/>
              </w:rPr>
            </w:r>
            <w:r>
              <w:rPr>
                <w:noProof/>
                <w:webHidden/>
              </w:rPr>
              <w:fldChar w:fldCharType="separate"/>
            </w:r>
            <w:r>
              <w:rPr>
                <w:noProof/>
                <w:webHidden/>
              </w:rPr>
              <w:t>73</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46" w:history="1">
            <w:r w:rsidRPr="00F92173">
              <w:rPr>
                <w:rStyle w:val="Hipervnculo"/>
                <w:rFonts w:ascii="Arial" w:hAnsi="Arial" w:cs="Arial"/>
                <w:noProof/>
              </w:rPr>
              <w:t>7.1 Ejes estratégico 1. Desarrollo y Competitividad</w:t>
            </w:r>
            <w:r>
              <w:rPr>
                <w:noProof/>
                <w:webHidden/>
              </w:rPr>
              <w:tab/>
            </w:r>
            <w:r>
              <w:rPr>
                <w:noProof/>
                <w:webHidden/>
              </w:rPr>
              <w:fldChar w:fldCharType="begin"/>
            </w:r>
            <w:r>
              <w:rPr>
                <w:noProof/>
                <w:webHidden/>
              </w:rPr>
              <w:instrText xml:space="preserve"> PAGEREF _Toc389666646 \h </w:instrText>
            </w:r>
            <w:r>
              <w:rPr>
                <w:noProof/>
                <w:webHidden/>
              </w:rPr>
            </w:r>
            <w:r>
              <w:rPr>
                <w:noProof/>
                <w:webHidden/>
              </w:rPr>
              <w:fldChar w:fldCharType="separate"/>
            </w:r>
            <w:r>
              <w:rPr>
                <w:noProof/>
                <w:webHidden/>
              </w:rPr>
              <w:t>74</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47" w:history="1">
            <w:r w:rsidRPr="00F92173">
              <w:rPr>
                <w:rStyle w:val="Hipervnculo"/>
                <w:rFonts w:ascii="Arial" w:hAnsi="Arial" w:cs="Arial"/>
                <w:noProof/>
              </w:rPr>
              <w:t>7.2 Eje estratégico 2. Promoción y fortalecimiento de emprendimientos</w:t>
            </w:r>
            <w:r>
              <w:rPr>
                <w:noProof/>
                <w:webHidden/>
              </w:rPr>
              <w:tab/>
            </w:r>
            <w:r>
              <w:rPr>
                <w:noProof/>
                <w:webHidden/>
              </w:rPr>
              <w:fldChar w:fldCharType="begin"/>
            </w:r>
            <w:r>
              <w:rPr>
                <w:noProof/>
                <w:webHidden/>
              </w:rPr>
              <w:instrText xml:space="preserve"> PAGEREF _Toc389666647 \h </w:instrText>
            </w:r>
            <w:r>
              <w:rPr>
                <w:noProof/>
                <w:webHidden/>
              </w:rPr>
            </w:r>
            <w:r>
              <w:rPr>
                <w:noProof/>
                <w:webHidden/>
              </w:rPr>
              <w:fldChar w:fldCharType="separate"/>
            </w:r>
            <w:r>
              <w:rPr>
                <w:noProof/>
                <w:webHidden/>
              </w:rPr>
              <w:t>76</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48" w:history="1">
            <w:r w:rsidRPr="00F92173">
              <w:rPr>
                <w:rStyle w:val="Hipervnculo"/>
                <w:rFonts w:ascii="Arial" w:hAnsi="Arial" w:cs="Arial"/>
                <w:noProof/>
              </w:rPr>
              <w:t>7.3 Eje estratégico 3. Formación y capacitación laboral</w:t>
            </w:r>
            <w:r>
              <w:rPr>
                <w:noProof/>
                <w:webHidden/>
              </w:rPr>
              <w:tab/>
            </w:r>
            <w:r>
              <w:rPr>
                <w:noProof/>
                <w:webHidden/>
              </w:rPr>
              <w:fldChar w:fldCharType="begin"/>
            </w:r>
            <w:r>
              <w:rPr>
                <w:noProof/>
                <w:webHidden/>
              </w:rPr>
              <w:instrText xml:space="preserve"> PAGEREF _Toc389666648 \h </w:instrText>
            </w:r>
            <w:r>
              <w:rPr>
                <w:noProof/>
                <w:webHidden/>
              </w:rPr>
            </w:r>
            <w:r>
              <w:rPr>
                <w:noProof/>
                <w:webHidden/>
              </w:rPr>
              <w:fldChar w:fldCharType="separate"/>
            </w:r>
            <w:r>
              <w:rPr>
                <w:noProof/>
                <w:webHidden/>
              </w:rPr>
              <w:t>78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49" w:history="1">
            <w:r w:rsidRPr="00F92173">
              <w:rPr>
                <w:rStyle w:val="Hipervnculo"/>
                <w:rFonts w:ascii="Arial" w:hAnsi="Arial" w:cs="Arial"/>
                <w:noProof/>
              </w:rPr>
              <w:t>7.4 Eje estratégico 4. Intermediación laboral y colocación</w:t>
            </w:r>
            <w:r>
              <w:rPr>
                <w:noProof/>
                <w:webHidden/>
              </w:rPr>
              <w:tab/>
            </w:r>
            <w:r>
              <w:rPr>
                <w:noProof/>
                <w:webHidden/>
              </w:rPr>
              <w:fldChar w:fldCharType="begin"/>
            </w:r>
            <w:r>
              <w:rPr>
                <w:noProof/>
                <w:webHidden/>
              </w:rPr>
              <w:instrText xml:space="preserve"> PAGEREF _Toc389666649 \h </w:instrText>
            </w:r>
            <w:r>
              <w:rPr>
                <w:noProof/>
                <w:webHidden/>
              </w:rPr>
            </w:r>
            <w:r>
              <w:rPr>
                <w:noProof/>
                <w:webHidden/>
              </w:rPr>
              <w:fldChar w:fldCharType="separate"/>
            </w:r>
            <w:r>
              <w:rPr>
                <w:noProof/>
                <w:webHidden/>
              </w:rPr>
              <w:t>78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50" w:history="1">
            <w:r w:rsidRPr="00F92173">
              <w:rPr>
                <w:rStyle w:val="Hipervnculo"/>
                <w:rFonts w:ascii="Arial" w:hAnsi="Arial" w:cs="Arial"/>
                <w:noProof/>
              </w:rPr>
              <w:t>7.5 Eje estratégico 5. Coordinación institucional y fortalecimiento de capacidades territoriales</w:t>
            </w:r>
            <w:r>
              <w:rPr>
                <w:noProof/>
                <w:webHidden/>
              </w:rPr>
              <w:tab/>
            </w:r>
            <w:r>
              <w:rPr>
                <w:noProof/>
                <w:webHidden/>
              </w:rPr>
              <w:fldChar w:fldCharType="begin"/>
            </w:r>
            <w:r>
              <w:rPr>
                <w:noProof/>
                <w:webHidden/>
              </w:rPr>
              <w:instrText xml:space="preserve"> PAGEREF _Toc389666650 \h </w:instrText>
            </w:r>
            <w:r>
              <w:rPr>
                <w:noProof/>
                <w:webHidden/>
              </w:rPr>
            </w:r>
            <w:r>
              <w:rPr>
                <w:noProof/>
                <w:webHidden/>
              </w:rPr>
              <w:fldChar w:fldCharType="separate"/>
            </w:r>
            <w:r>
              <w:rPr>
                <w:noProof/>
                <w:webHidden/>
              </w:rPr>
              <w:t>78</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51" w:history="1">
            <w:r w:rsidRPr="00F92173">
              <w:rPr>
                <w:rStyle w:val="Hipervnculo"/>
                <w:rFonts w:ascii="Arial" w:hAnsi="Arial" w:cs="Arial"/>
                <w:noProof/>
              </w:rPr>
              <w:t>7.6 Eje Estratégico 6. Fortalecimiento normativo y dialogo social</w:t>
            </w:r>
            <w:r>
              <w:rPr>
                <w:noProof/>
                <w:webHidden/>
              </w:rPr>
              <w:tab/>
            </w:r>
            <w:r>
              <w:rPr>
                <w:noProof/>
                <w:webHidden/>
              </w:rPr>
              <w:fldChar w:fldCharType="begin"/>
            </w:r>
            <w:r>
              <w:rPr>
                <w:noProof/>
                <w:webHidden/>
              </w:rPr>
              <w:instrText xml:space="preserve"> PAGEREF _Toc389666651 \h </w:instrText>
            </w:r>
            <w:r>
              <w:rPr>
                <w:noProof/>
                <w:webHidden/>
              </w:rPr>
            </w:r>
            <w:r>
              <w:rPr>
                <w:noProof/>
                <w:webHidden/>
              </w:rPr>
              <w:fldChar w:fldCharType="separate"/>
            </w:r>
            <w:r>
              <w:rPr>
                <w:noProof/>
                <w:webHidden/>
              </w:rPr>
              <w:t>79</w:t>
            </w:r>
            <w:r>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52" w:history="1">
            <w:r w:rsidRPr="00F92173">
              <w:rPr>
                <w:rStyle w:val="Hipervnculo"/>
                <w:rFonts w:ascii="Arial" w:hAnsi="Arial" w:cs="Arial"/>
                <w:b/>
                <w:bCs/>
                <w:noProof/>
              </w:rPr>
              <w:t>8.</w:t>
            </w:r>
            <w:r>
              <w:rPr>
                <w:rFonts w:asciiTheme="minorHAnsi" w:eastAsiaTheme="minorEastAsia" w:hAnsiTheme="minorHAnsi" w:cstheme="minorBidi"/>
                <w:noProof/>
                <w:lang w:eastAsia="es-ES"/>
              </w:rPr>
              <w:tab/>
            </w:r>
            <w:r w:rsidRPr="00F92173">
              <w:rPr>
                <w:rStyle w:val="Hipervnculo"/>
                <w:rFonts w:ascii="Arial" w:hAnsi="Arial" w:cs="Arial"/>
                <w:b/>
                <w:bCs/>
                <w:noProof/>
              </w:rPr>
              <w:t>Fuentes de financiación del Plan Departamental de Empleo</w:t>
            </w:r>
            <w:r>
              <w:rPr>
                <w:noProof/>
                <w:webHidden/>
              </w:rPr>
              <w:tab/>
            </w:r>
            <w:r>
              <w:rPr>
                <w:noProof/>
                <w:webHidden/>
              </w:rPr>
              <w:fldChar w:fldCharType="begin"/>
            </w:r>
            <w:r>
              <w:rPr>
                <w:noProof/>
                <w:webHidden/>
              </w:rPr>
              <w:instrText xml:space="preserve"> PAGEREF _Toc389666652 \h </w:instrText>
            </w:r>
            <w:r>
              <w:rPr>
                <w:noProof/>
                <w:webHidden/>
              </w:rPr>
            </w:r>
            <w:r>
              <w:rPr>
                <w:noProof/>
                <w:webHidden/>
              </w:rPr>
              <w:fldChar w:fldCharType="separate"/>
            </w:r>
            <w:r>
              <w:rPr>
                <w:noProof/>
                <w:webHidden/>
              </w:rPr>
              <w:t>79</w:t>
            </w:r>
            <w:r>
              <w:rPr>
                <w:noProof/>
                <w:webHidden/>
              </w:rPr>
              <w:fldChar w:fldCharType="end"/>
            </w:r>
          </w:hyperlink>
        </w:p>
        <w:p w:rsidR="00661885" w:rsidRDefault="00661885">
          <w:pPr>
            <w:pStyle w:val="TDC1"/>
            <w:tabs>
              <w:tab w:val="left" w:pos="440"/>
              <w:tab w:val="right" w:leader="dot" w:pos="8828"/>
            </w:tabs>
            <w:rPr>
              <w:rFonts w:asciiTheme="minorHAnsi" w:eastAsiaTheme="minorEastAsia" w:hAnsiTheme="minorHAnsi" w:cstheme="minorBidi"/>
              <w:noProof/>
              <w:lang w:eastAsia="es-ES"/>
            </w:rPr>
          </w:pPr>
          <w:hyperlink w:anchor="_Toc389666653" w:history="1">
            <w:r w:rsidRPr="00F92173">
              <w:rPr>
                <w:rStyle w:val="Hipervnculo"/>
                <w:rFonts w:ascii="Arial" w:hAnsi="Arial" w:cs="Arial"/>
                <w:b/>
                <w:bCs/>
                <w:noProof/>
              </w:rPr>
              <w:t>9.</w:t>
            </w:r>
            <w:r>
              <w:rPr>
                <w:rFonts w:asciiTheme="minorHAnsi" w:eastAsiaTheme="minorEastAsia" w:hAnsiTheme="minorHAnsi" w:cstheme="minorBidi"/>
                <w:noProof/>
                <w:lang w:eastAsia="es-ES"/>
              </w:rPr>
              <w:tab/>
            </w:r>
            <w:r w:rsidRPr="00F92173">
              <w:rPr>
                <w:rStyle w:val="Hipervnculo"/>
                <w:rFonts w:ascii="Arial" w:hAnsi="Arial" w:cs="Arial"/>
                <w:b/>
                <w:bCs/>
                <w:noProof/>
              </w:rPr>
              <w:t>Monitoreo, evaluación y seguimiento del Plan Departamental de Empleo</w:t>
            </w:r>
            <w:r>
              <w:rPr>
                <w:noProof/>
                <w:webHidden/>
              </w:rPr>
              <w:tab/>
            </w:r>
            <w:r>
              <w:rPr>
                <w:noProof/>
                <w:webHidden/>
              </w:rPr>
              <w:fldChar w:fldCharType="begin"/>
            </w:r>
            <w:r>
              <w:rPr>
                <w:noProof/>
                <w:webHidden/>
              </w:rPr>
              <w:instrText xml:space="preserve"> PAGEREF _Toc389666653 \h </w:instrText>
            </w:r>
            <w:r>
              <w:rPr>
                <w:noProof/>
                <w:webHidden/>
              </w:rPr>
            </w:r>
            <w:r>
              <w:rPr>
                <w:noProof/>
                <w:webHidden/>
              </w:rPr>
              <w:fldChar w:fldCharType="separate"/>
            </w:r>
            <w:r>
              <w:rPr>
                <w:noProof/>
                <w:webHidden/>
              </w:rPr>
              <w:t>79</w:t>
            </w:r>
            <w:r>
              <w:rPr>
                <w:noProof/>
                <w:webHidden/>
              </w:rPr>
              <w:fldChar w:fldCharType="end"/>
            </w:r>
          </w:hyperlink>
        </w:p>
        <w:p w:rsidR="00661885" w:rsidRDefault="00661885">
          <w:pPr>
            <w:pStyle w:val="TDC1"/>
            <w:tabs>
              <w:tab w:val="left" w:pos="660"/>
              <w:tab w:val="right" w:leader="dot" w:pos="8828"/>
            </w:tabs>
            <w:rPr>
              <w:rFonts w:asciiTheme="minorHAnsi" w:eastAsiaTheme="minorEastAsia" w:hAnsiTheme="minorHAnsi" w:cstheme="minorBidi"/>
              <w:noProof/>
              <w:lang w:eastAsia="es-ES"/>
            </w:rPr>
          </w:pPr>
          <w:hyperlink w:anchor="_Toc389666654" w:history="1">
            <w:r w:rsidRPr="00F92173">
              <w:rPr>
                <w:rStyle w:val="Hipervnculo"/>
                <w:rFonts w:ascii="Arial" w:hAnsi="Arial" w:cs="Arial"/>
                <w:b/>
                <w:bCs/>
                <w:noProof/>
              </w:rPr>
              <w:t>10.</w:t>
            </w:r>
            <w:r>
              <w:rPr>
                <w:rFonts w:asciiTheme="minorHAnsi" w:eastAsiaTheme="minorEastAsia" w:hAnsiTheme="minorHAnsi" w:cstheme="minorBidi"/>
                <w:noProof/>
                <w:lang w:eastAsia="es-ES"/>
              </w:rPr>
              <w:tab/>
            </w:r>
            <w:r w:rsidRPr="00F92173">
              <w:rPr>
                <w:rStyle w:val="Hipervnculo"/>
                <w:rFonts w:ascii="Arial" w:hAnsi="Arial" w:cs="Arial"/>
                <w:b/>
                <w:bCs/>
                <w:noProof/>
              </w:rPr>
              <w:t>Recomendaciones</w:t>
            </w:r>
            <w:r>
              <w:rPr>
                <w:noProof/>
                <w:webHidden/>
              </w:rPr>
              <w:tab/>
            </w:r>
            <w:r>
              <w:rPr>
                <w:noProof/>
                <w:webHidden/>
              </w:rPr>
              <w:fldChar w:fldCharType="begin"/>
            </w:r>
            <w:r>
              <w:rPr>
                <w:noProof/>
                <w:webHidden/>
              </w:rPr>
              <w:instrText xml:space="preserve"> PAGEREF _Toc389666654 \h </w:instrText>
            </w:r>
            <w:r>
              <w:rPr>
                <w:noProof/>
                <w:webHidden/>
              </w:rPr>
            </w:r>
            <w:r>
              <w:rPr>
                <w:noProof/>
                <w:webHidden/>
              </w:rPr>
              <w:fldChar w:fldCharType="separate"/>
            </w:r>
            <w:r>
              <w:rPr>
                <w:noProof/>
                <w:webHidden/>
              </w:rPr>
              <w:t>82</w:t>
            </w:r>
            <w:r>
              <w:rPr>
                <w:noProof/>
                <w:webHidden/>
              </w:rPr>
              <w:fldChar w:fldCharType="end"/>
            </w:r>
          </w:hyperlink>
        </w:p>
        <w:p w:rsidR="00661885" w:rsidRDefault="00661885">
          <w:pPr>
            <w:pStyle w:val="TDC1"/>
            <w:tabs>
              <w:tab w:val="left" w:pos="660"/>
              <w:tab w:val="right" w:leader="dot" w:pos="8828"/>
            </w:tabs>
            <w:rPr>
              <w:rFonts w:asciiTheme="minorHAnsi" w:eastAsiaTheme="minorEastAsia" w:hAnsiTheme="minorHAnsi" w:cstheme="minorBidi"/>
              <w:noProof/>
              <w:lang w:eastAsia="es-ES"/>
            </w:rPr>
          </w:pPr>
          <w:hyperlink w:anchor="_Toc389666655" w:history="1">
            <w:r w:rsidRPr="00F92173">
              <w:rPr>
                <w:rStyle w:val="Hipervnculo"/>
                <w:rFonts w:ascii="Arial" w:hAnsi="Arial" w:cs="Arial"/>
                <w:b/>
                <w:bCs/>
                <w:noProof/>
              </w:rPr>
              <w:t>11.</w:t>
            </w:r>
            <w:r>
              <w:rPr>
                <w:rFonts w:asciiTheme="minorHAnsi" w:eastAsiaTheme="minorEastAsia" w:hAnsiTheme="minorHAnsi" w:cstheme="minorBidi"/>
                <w:noProof/>
                <w:lang w:eastAsia="es-ES"/>
              </w:rPr>
              <w:tab/>
            </w:r>
            <w:r w:rsidRPr="00F92173">
              <w:rPr>
                <w:rStyle w:val="Hipervnculo"/>
                <w:rFonts w:ascii="Arial" w:hAnsi="Arial" w:cs="Arial"/>
                <w:b/>
                <w:bCs/>
                <w:noProof/>
              </w:rPr>
              <w:t>Referencias Bibliográficas</w:t>
            </w:r>
            <w:r>
              <w:rPr>
                <w:noProof/>
                <w:webHidden/>
              </w:rPr>
              <w:tab/>
            </w:r>
            <w:r>
              <w:rPr>
                <w:noProof/>
                <w:webHidden/>
              </w:rPr>
              <w:fldChar w:fldCharType="begin"/>
            </w:r>
            <w:r>
              <w:rPr>
                <w:noProof/>
                <w:webHidden/>
              </w:rPr>
              <w:instrText xml:space="preserve"> PAGEREF _Toc389666655 \h </w:instrText>
            </w:r>
            <w:r>
              <w:rPr>
                <w:noProof/>
                <w:webHidden/>
              </w:rPr>
            </w:r>
            <w:r>
              <w:rPr>
                <w:noProof/>
                <w:webHidden/>
              </w:rPr>
              <w:fldChar w:fldCharType="separate"/>
            </w:r>
            <w:r>
              <w:rPr>
                <w:noProof/>
                <w:webHidden/>
              </w:rPr>
              <w:t>84</w:t>
            </w:r>
            <w:r>
              <w:rPr>
                <w:noProof/>
                <w:webHidden/>
              </w:rPr>
              <w:fldChar w:fldCharType="end"/>
            </w:r>
          </w:hyperlink>
        </w:p>
        <w:p w:rsidR="00661885" w:rsidRDefault="00661885">
          <w:pPr>
            <w:pStyle w:val="TDC1"/>
            <w:tabs>
              <w:tab w:val="right" w:leader="dot" w:pos="8828"/>
            </w:tabs>
            <w:rPr>
              <w:rFonts w:asciiTheme="minorHAnsi" w:eastAsiaTheme="minorEastAsia" w:hAnsiTheme="minorHAnsi" w:cstheme="minorBidi"/>
              <w:noProof/>
              <w:lang w:eastAsia="es-ES"/>
            </w:rPr>
          </w:pPr>
          <w:hyperlink w:anchor="_Toc389666656" w:history="1">
            <w:r w:rsidRPr="00F92173">
              <w:rPr>
                <w:rStyle w:val="Hipervnculo"/>
                <w:rFonts w:ascii="Arial" w:hAnsi="Arial" w:cs="Arial"/>
                <w:noProof/>
              </w:rPr>
              <w:t>12. Anexos</w:t>
            </w:r>
            <w:r>
              <w:rPr>
                <w:noProof/>
                <w:webHidden/>
              </w:rPr>
              <w:tab/>
            </w:r>
            <w:r>
              <w:rPr>
                <w:noProof/>
                <w:webHidden/>
              </w:rPr>
              <w:fldChar w:fldCharType="begin"/>
            </w:r>
            <w:r>
              <w:rPr>
                <w:noProof/>
                <w:webHidden/>
              </w:rPr>
              <w:instrText xml:space="preserve"> PAGEREF _Toc389666656 \h </w:instrText>
            </w:r>
            <w:r>
              <w:rPr>
                <w:noProof/>
                <w:webHidden/>
              </w:rPr>
            </w:r>
            <w:r>
              <w:rPr>
                <w:noProof/>
                <w:webHidden/>
              </w:rPr>
              <w:fldChar w:fldCharType="separate"/>
            </w:r>
            <w:r>
              <w:rPr>
                <w:noProof/>
                <w:webHidden/>
              </w:rPr>
              <w:t>87</w:t>
            </w:r>
            <w:r>
              <w:rPr>
                <w:noProof/>
                <w:webHidden/>
              </w:rPr>
              <w:fldChar w:fldCharType="end"/>
            </w:r>
          </w:hyperlink>
        </w:p>
        <w:p w:rsidR="00661885" w:rsidRDefault="00661885">
          <w:pPr>
            <w:pStyle w:val="TDC2"/>
            <w:tabs>
              <w:tab w:val="right" w:leader="dot" w:pos="8828"/>
            </w:tabs>
            <w:rPr>
              <w:rFonts w:asciiTheme="minorHAnsi" w:eastAsiaTheme="minorEastAsia" w:hAnsiTheme="minorHAnsi" w:cstheme="minorBidi"/>
              <w:noProof/>
              <w:lang w:eastAsia="es-ES"/>
            </w:rPr>
          </w:pPr>
          <w:hyperlink w:anchor="_Toc389666657" w:history="1">
            <w:r w:rsidRPr="00F92173">
              <w:rPr>
                <w:rStyle w:val="Hipervnculo"/>
                <w:rFonts w:ascii="Arial" w:hAnsi="Arial" w:cs="Arial"/>
                <w:noProof/>
              </w:rPr>
              <w:t>Anexo 1. Glosario</w:t>
            </w:r>
            <w:r>
              <w:rPr>
                <w:noProof/>
                <w:webHidden/>
              </w:rPr>
              <w:tab/>
            </w:r>
            <w:r>
              <w:rPr>
                <w:noProof/>
                <w:webHidden/>
              </w:rPr>
              <w:fldChar w:fldCharType="begin"/>
            </w:r>
            <w:r>
              <w:rPr>
                <w:noProof/>
                <w:webHidden/>
              </w:rPr>
              <w:instrText xml:space="preserve"> PAGEREF _Toc389666657 \h </w:instrText>
            </w:r>
            <w:r>
              <w:rPr>
                <w:noProof/>
                <w:webHidden/>
              </w:rPr>
            </w:r>
            <w:r>
              <w:rPr>
                <w:noProof/>
                <w:webHidden/>
              </w:rPr>
              <w:fldChar w:fldCharType="separate"/>
            </w:r>
            <w:r>
              <w:rPr>
                <w:noProof/>
                <w:webHidden/>
              </w:rPr>
              <w:t>87</w:t>
            </w:r>
            <w:r>
              <w:rPr>
                <w:noProof/>
                <w:webHidden/>
              </w:rPr>
              <w:fldChar w:fldCharType="end"/>
            </w:r>
          </w:hyperlink>
        </w:p>
        <w:p w:rsidR="00BC4008" w:rsidRPr="00F34D8D" w:rsidRDefault="00E15176">
          <w:pPr>
            <w:spacing w:line="276" w:lineRule="auto"/>
            <w:jc w:val="both"/>
            <w:rPr>
              <w:rFonts w:ascii="Arial" w:hAnsi="Arial"/>
            </w:rPr>
          </w:pPr>
          <w:r w:rsidRPr="00F34D8D">
            <w:rPr>
              <w:rFonts w:ascii="Arial" w:hAnsi="Arial"/>
              <w:bCs/>
            </w:rPr>
            <w:fldChar w:fldCharType="end"/>
          </w:r>
        </w:p>
      </w:sdtContent>
    </w:sdt>
    <w:p w:rsidR="008759BA" w:rsidRPr="00F34D8D" w:rsidRDefault="008759BA" w:rsidP="00F34D8D">
      <w:pPr>
        <w:spacing w:line="276" w:lineRule="auto"/>
        <w:jc w:val="both"/>
        <w:rPr>
          <w:rFonts w:ascii="Arial" w:hAnsi="Arial" w:cs="Arial"/>
        </w:rPr>
      </w:pPr>
    </w:p>
    <w:p w:rsidR="00BC4008" w:rsidRPr="00F34D8D" w:rsidRDefault="00BC4008" w:rsidP="00F34D8D">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65647E" w:rsidRDefault="0065647E" w:rsidP="00045CA7">
      <w:pPr>
        <w:spacing w:line="276" w:lineRule="auto"/>
        <w:jc w:val="both"/>
        <w:rPr>
          <w:rFonts w:ascii="Arial" w:hAnsi="Arial" w:cs="Arial"/>
        </w:rPr>
      </w:pPr>
    </w:p>
    <w:p w:rsidR="0065647E" w:rsidRDefault="0065647E" w:rsidP="00045CA7">
      <w:pPr>
        <w:spacing w:line="276" w:lineRule="auto"/>
        <w:jc w:val="both"/>
        <w:rPr>
          <w:rFonts w:ascii="Arial" w:hAnsi="Arial" w:cs="Arial"/>
        </w:rPr>
      </w:pPr>
    </w:p>
    <w:p w:rsidR="0065647E" w:rsidRDefault="0065647E" w:rsidP="00045CA7">
      <w:pPr>
        <w:spacing w:line="276" w:lineRule="auto"/>
        <w:jc w:val="both"/>
        <w:rPr>
          <w:rFonts w:ascii="Arial" w:hAnsi="Arial" w:cs="Arial"/>
        </w:rPr>
      </w:pPr>
    </w:p>
    <w:p w:rsidR="0065647E" w:rsidRDefault="0065647E" w:rsidP="00045CA7">
      <w:pPr>
        <w:spacing w:line="276" w:lineRule="auto"/>
        <w:jc w:val="both"/>
        <w:rPr>
          <w:rFonts w:ascii="Arial" w:hAnsi="Arial" w:cs="Arial"/>
        </w:rPr>
      </w:pPr>
    </w:p>
    <w:p w:rsidR="0065647E" w:rsidRDefault="0065647E"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Pr="00A20008" w:rsidRDefault="00F34D8D" w:rsidP="00A20008">
      <w:pPr>
        <w:spacing w:line="276" w:lineRule="auto"/>
        <w:jc w:val="center"/>
        <w:rPr>
          <w:rFonts w:ascii="Arial" w:hAnsi="Arial" w:cs="Arial"/>
          <w:b/>
          <w:color w:val="C00000"/>
          <w:sz w:val="24"/>
          <w:szCs w:val="24"/>
        </w:rPr>
      </w:pPr>
      <w:r w:rsidRPr="00A20008">
        <w:rPr>
          <w:rFonts w:ascii="Arial" w:hAnsi="Arial" w:cs="Arial"/>
          <w:b/>
          <w:color w:val="C00000"/>
          <w:sz w:val="24"/>
          <w:szCs w:val="24"/>
        </w:rPr>
        <w:t>Índice de tablas</w:t>
      </w:r>
    </w:p>
    <w:p w:rsidR="00BC4008" w:rsidRDefault="00BC4008" w:rsidP="00045CA7">
      <w:pPr>
        <w:spacing w:line="276" w:lineRule="auto"/>
        <w:jc w:val="both"/>
        <w:rPr>
          <w:rFonts w:ascii="Arial" w:hAnsi="Arial" w:cs="Arial"/>
        </w:rPr>
      </w:pPr>
    </w:p>
    <w:bookmarkStart w:id="0" w:name="_GoBack"/>
    <w:bookmarkEnd w:id="0"/>
    <w:p w:rsidR="000D2C52" w:rsidRDefault="00F34D8D">
      <w:pPr>
        <w:pStyle w:val="Tabladeilustraciones"/>
        <w:tabs>
          <w:tab w:val="right" w:leader="dot" w:pos="8828"/>
        </w:tabs>
        <w:rPr>
          <w:rFonts w:asciiTheme="minorHAnsi" w:eastAsiaTheme="minorEastAsia" w:hAnsiTheme="minorHAnsi" w:cstheme="minorBidi"/>
          <w:noProof/>
          <w:lang w:eastAsia="es-ES"/>
        </w:rPr>
      </w:pPr>
      <w:r>
        <w:rPr>
          <w:rFonts w:ascii="Arial" w:hAnsi="Arial" w:cs="Arial"/>
        </w:rPr>
        <w:fldChar w:fldCharType="begin"/>
      </w:r>
      <w:r>
        <w:rPr>
          <w:rFonts w:ascii="Arial" w:hAnsi="Arial" w:cs="Arial"/>
        </w:rPr>
        <w:instrText xml:space="preserve"> TOC \h \z \c "Tabla" </w:instrText>
      </w:r>
      <w:r>
        <w:rPr>
          <w:rFonts w:ascii="Arial" w:hAnsi="Arial" w:cs="Arial"/>
        </w:rPr>
        <w:fldChar w:fldCharType="separate"/>
      </w:r>
      <w:hyperlink w:anchor="_Toc389667014" w:history="1">
        <w:r w:rsidR="000D2C52" w:rsidRPr="00CD59DA">
          <w:rPr>
            <w:rStyle w:val="Hipervnculo"/>
            <w:rFonts w:ascii="Arial" w:hAnsi="Arial" w:cs="Arial"/>
            <w:noProof/>
          </w:rPr>
          <w:t>Tabla 1. Generalidades del departamento de Bolívar</w:t>
        </w:r>
        <w:r w:rsidR="000D2C52">
          <w:rPr>
            <w:noProof/>
            <w:webHidden/>
          </w:rPr>
          <w:tab/>
        </w:r>
        <w:r w:rsidR="000D2C52">
          <w:rPr>
            <w:noProof/>
            <w:webHidden/>
          </w:rPr>
          <w:fldChar w:fldCharType="begin"/>
        </w:r>
        <w:r w:rsidR="000D2C52">
          <w:rPr>
            <w:noProof/>
            <w:webHidden/>
          </w:rPr>
          <w:instrText xml:space="preserve"> PAGEREF _Toc389667014 \h </w:instrText>
        </w:r>
        <w:r w:rsidR="000D2C52">
          <w:rPr>
            <w:noProof/>
            <w:webHidden/>
          </w:rPr>
        </w:r>
        <w:r w:rsidR="000D2C52">
          <w:rPr>
            <w:noProof/>
            <w:webHidden/>
          </w:rPr>
          <w:fldChar w:fldCharType="separate"/>
        </w:r>
        <w:r w:rsidR="000D2C52">
          <w:rPr>
            <w:noProof/>
            <w:webHidden/>
          </w:rPr>
          <w:t>13</w:t>
        </w:r>
        <w:r w:rsidR="000D2C52">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15" w:history="1">
        <w:r w:rsidRPr="00CD59DA">
          <w:rPr>
            <w:rStyle w:val="Hipervnculo"/>
            <w:rFonts w:ascii="Arial" w:hAnsi="Arial" w:cs="Arial"/>
            <w:noProof/>
          </w:rPr>
          <w:t>Tabla 2. Población y participación porcentual por área y municipio año 2012</w:t>
        </w:r>
        <w:r>
          <w:rPr>
            <w:noProof/>
            <w:webHidden/>
          </w:rPr>
          <w:tab/>
        </w:r>
        <w:r>
          <w:rPr>
            <w:noProof/>
            <w:webHidden/>
          </w:rPr>
          <w:fldChar w:fldCharType="begin"/>
        </w:r>
        <w:r>
          <w:rPr>
            <w:noProof/>
            <w:webHidden/>
          </w:rPr>
          <w:instrText xml:space="preserve"> PAGEREF _Toc389667015 \h </w:instrText>
        </w:r>
        <w:r>
          <w:rPr>
            <w:noProof/>
            <w:webHidden/>
          </w:rPr>
        </w:r>
        <w:r>
          <w:rPr>
            <w:noProof/>
            <w:webHidden/>
          </w:rPr>
          <w:fldChar w:fldCharType="separate"/>
        </w:r>
        <w:r>
          <w:rPr>
            <w:noProof/>
            <w:webHidden/>
          </w:rPr>
          <w:t>15</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16" w:history="1">
        <w:r w:rsidRPr="00CD59DA">
          <w:rPr>
            <w:rStyle w:val="Hipervnculo"/>
            <w:rFonts w:ascii="Arial" w:hAnsi="Arial" w:cs="Arial"/>
            <w:noProof/>
          </w:rPr>
          <w:t>Tabla 3. PIB y tasa de crecimiento económico por ramas de actividad económica 2011/2010, miles de millones a precios constantes 2005 por encadenamientos</w:t>
        </w:r>
        <w:r>
          <w:rPr>
            <w:noProof/>
            <w:webHidden/>
          </w:rPr>
          <w:tab/>
        </w:r>
        <w:r>
          <w:rPr>
            <w:noProof/>
            <w:webHidden/>
          </w:rPr>
          <w:fldChar w:fldCharType="begin"/>
        </w:r>
        <w:r>
          <w:rPr>
            <w:noProof/>
            <w:webHidden/>
          </w:rPr>
          <w:instrText xml:space="preserve"> PAGEREF _Toc389667016 \h </w:instrText>
        </w:r>
        <w:r>
          <w:rPr>
            <w:noProof/>
            <w:webHidden/>
          </w:rPr>
        </w:r>
        <w:r>
          <w:rPr>
            <w:noProof/>
            <w:webHidden/>
          </w:rPr>
          <w:fldChar w:fldCharType="separate"/>
        </w:r>
        <w:r>
          <w:rPr>
            <w:noProof/>
            <w:webHidden/>
          </w:rPr>
          <w:t>21</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17" w:history="1">
        <w:r w:rsidRPr="00CD59DA">
          <w:rPr>
            <w:rStyle w:val="Hipervnculo"/>
            <w:rFonts w:ascii="Arial" w:eastAsiaTheme="minorHAnsi" w:hAnsi="Arial" w:cs="Arial"/>
            <w:noProof/>
            <w:lang w:val="es-CO"/>
          </w:rPr>
          <w:t>Tabla 4. Ocupados por rango de ingresos en smlv. Bolívar (2012)</w:t>
        </w:r>
        <w:r>
          <w:rPr>
            <w:noProof/>
            <w:webHidden/>
          </w:rPr>
          <w:tab/>
        </w:r>
        <w:r>
          <w:rPr>
            <w:noProof/>
            <w:webHidden/>
          </w:rPr>
          <w:fldChar w:fldCharType="begin"/>
        </w:r>
        <w:r>
          <w:rPr>
            <w:noProof/>
            <w:webHidden/>
          </w:rPr>
          <w:instrText xml:space="preserve"> PAGEREF _Toc389667017 \h </w:instrText>
        </w:r>
        <w:r>
          <w:rPr>
            <w:noProof/>
            <w:webHidden/>
          </w:rPr>
        </w:r>
        <w:r>
          <w:rPr>
            <w:noProof/>
            <w:webHidden/>
          </w:rPr>
          <w:fldChar w:fldCharType="separate"/>
        </w:r>
        <w:r>
          <w:rPr>
            <w:noProof/>
            <w:webHidden/>
          </w:rPr>
          <w:t>36</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18" w:history="1">
        <w:r w:rsidRPr="00CD59DA">
          <w:rPr>
            <w:rStyle w:val="Hipervnculo"/>
            <w:rFonts w:ascii="Arial" w:eastAsiaTheme="minorHAnsi" w:hAnsi="Arial" w:cs="Arial"/>
            <w:noProof/>
            <w:lang w:val="es-CO"/>
          </w:rPr>
          <w:t>Tabla 5. Ocupados por nivel educativo. Bolívar (2012)</w:t>
        </w:r>
        <w:r>
          <w:rPr>
            <w:noProof/>
            <w:webHidden/>
          </w:rPr>
          <w:tab/>
        </w:r>
        <w:r>
          <w:rPr>
            <w:noProof/>
            <w:webHidden/>
          </w:rPr>
          <w:fldChar w:fldCharType="begin"/>
        </w:r>
        <w:r>
          <w:rPr>
            <w:noProof/>
            <w:webHidden/>
          </w:rPr>
          <w:instrText xml:space="preserve"> PAGEREF _Toc389667018 \h </w:instrText>
        </w:r>
        <w:r>
          <w:rPr>
            <w:noProof/>
            <w:webHidden/>
          </w:rPr>
        </w:r>
        <w:r>
          <w:rPr>
            <w:noProof/>
            <w:webHidden/>
          </w:rPr>
          <w:fldChar w:fldCharType="separate"/>
        </w:r>
        <w:r>
          <w:rPr>
            <w:noProof/>
            <w:webHidden/>
          </w:rPr>
          <w:t>36</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19" w:history="1">
        <w:r w:rsidRPr="00CD59DA">
          <w:rPr>
            <w:rStyle w:val="Hipervnculo"/>
            <w:rFonts w:ascii="Arial" w:hAnsi="Arial" w:cs="Arial"/>
            <w:noProof/>
          </w:rPr>
          <w:t>Tabla 6. Principales indicadores de mercado laboral en el departamento de Bolívar para los jóvenes entre los 14 y 28 años</w:t>
        </w:r>
        <w:r>
          <w:rPr>
            <w:noProof/>
            <w:webHidden/>
          </w:rPr>
          <w:tab/>
        </w:r>
        <w:r>
          <w:rPr>
            <w:noProof/>
            <w:webHidden/>
          </w:rPr>
          <w:fldChar w:fldCharType="begin"/>
        </w:r>
        <w:r>
          <w:rPr>
            <w:noProof/>
            <w:webHidden/>
          </w:rPr>
          <w:instrText xml:space="preserve"> PAGEREF _Toc389667019 \h </w:instrText>
        </w:r>
        <w:r>
          <w:rPr>
            <w:noProof/>
            <w:webHidden/>
          </w:rPr>
        </w:r>
        <w:r>
          <w:rPr>
            <w:noProof/>
            <w:webHidden/>
          </w:rPr>
          <w:fldChar w:fldCharType="separate"/>
        </w:r>
        <w:r>
          <w:rPr>
            <w:noProof/>
            <w:webHidden/>
          </w:rPr>
          <w:t>38</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0" w:history="1">
        <w:r w:rsidRPr="00CD59DA">
          <w:rPr>
            <w:rStyle w:val="Hipervnculo"/>
            <w:rFonts w:ascii="Arial" w:eastAsiaTheme="minorHAnsi" w:hAnsi="Arial" w:cs="Arial"/>
            <w:noProof/>
            <w:lang w:val="es-CO"/>
          </w:rPr>
          <w:t>Tabla 7. Desocupados por género. Bolívar (2012)</w:t>
        </w:r>
        <w:r>
          <w:rPr>
            <w:noProof/>
            <w:webHidden/>
          </w:rPr>
          <w:tab/>
        </w:r>
        <w:r>
          <w:rPr>
            <w:noProof/>
            <w:webHidden/>
          </w:rPr>
          <w:fldChar w:fldCharType="begin"/>
        </w:r>
        <w:r>
          <w:rPr>
            <w:noProof/>
            <w:webHidden/>
          </w:rPr>
          <w:instrText xml:space="preserve"> PAGEREF _Toc389667020 \h </w:instrText>
        </w:r>
        <w:r>
          <w:rPr>
            <w:noProof/>
            <w:webHidden/>
          </w:rPr>
        </w:r>
        <w:r>
          <w:rPr>
            <w:noProof/>
            <w:webHidden/>
          </w:rPr>
          <w:fldChar w:fldCharType="separate"/>
        </w:r>
        <w:r>
          <w:rPr>
            <w:noProof/>
            <w:webHidden/>
          </w:rPr>
          <w:t>40</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1" w:history="1">
        <w:r w:rsidRPr="00CD59DA">
          <w:rPr>
            <w:rStyle w:val="Hipervnculo"/>
            <w:rFonts w:ascii="Arial" w:hAnsi="Arial" w:cs="Arial"/>
            <w:noProof/>
          </w:rPr>
          <w:t>Tabla 8.  Indicadores del mercado laboral para la población desplazada por violencia y en condición de extrema pobreza en el departamento de Bolívar</w:t>
        </w:r>
        <w:r>
          <w:rPr>
            <w:noProof/>
            <w:webHidden/>
          </w:rPr>
          <w:tab/>
        </w:r>
        <w:r>
          <w:rPr>
            <w:noProof/>
            <w:webHidden/>
          </w:rPr>
          <w:fldChar w:fldCharType="begin"/>
        </w:r>
        <w:r>
          <w:rPr>
            <w:noProof/>
            <w:webHidden/>
          </w:rPr>
          <w:instrText xml:space="preserve"> PAGEREF _Toc389667021 \h </w:instrText>
        </w:r>
        <w:r>
          <w:rPr>
            <w:noProof/>
            <w:webHidden/>
          </w:rPr>
        </w:r>
        <w:r>
          <w:rPr>
            <w:noProof/>
            <w:webHidden/>
          </w:rPr>
          <w:fldChar w:fldCharType="separate"/>
        </w:r>
        <w:r>
          <w:rPr>
            <w:noProof/>
            <w:webHidden/>
          </w:rPr>
          <w:t>40</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2" w:history="1">
        <w:r w:rsidRPr="00CD59DA">
          <w:rPr>
            <w:rStyle w:val="Hipervnculo"/>
            <w:rFonts w:ascii="Arial" w:hAnsi="Arial" w:cs="Arial"/>
            <w:noProof/>
          </w:rPr>
          <w:t>Tabla 9. Tasa de trabajo infantil (TTI) y tasa de trabajo infantil ampliada por oficios del hogar TTIA, cuarto trimestre de 2012</w:t>
        </w:r>
        <w:r>
          <w:rPr>
            <w:noProof/>
            <w:webHidden/>
          </w:rPr>
          <w:tab/>
        </w:r>
        <w:r>
          <w:rPr>
            <w:noProof/>
            <w:webHidden/>
          </w:rPr>
          <w:fldChar w:fldCharType="begin"/>
        </w:r>
        <w:r>
          <w:rPr>
            <w:noProof/>
            <w:webHidden/>
          </w:rPr>
          <w:instrText xml:space="preserve"> PAGEREF _Toc389667022 \h </w:instrText>
        </w:r>
        <w:r>
          <w:rPr>
            <w:noProof/>
            <w:webHidden/>
          </w:rPr>
        </w:r>
        <w:r>
          <w:rPr>
            <w:noProof/>
            <w:webHidden/>
          </w:rPr>
          <w:fldChar w:fldCharType="separate"/>
        </w:r>
        <w:r>
          <w:rPr>
            <w:noProof/>
            <w:webHidden/>
          </w:rPr>
          <w:t>42</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3" w:history="1">
        <w:r w:rsidRPr="00CD59DA">
          <w:rPr>
            <w:rStyle w:val="Hipervnculo"/>
            <w:rFonts w:ascii="Arial" w:hAnsi="Arial" w:cs="Arial"/>
            <w:noProof/>
          </w:rPr>
          <w:t>Tabla 10. Bolívar. Cifras SIRITI. Vulnerabilidad General</w:t>
        </w:r>
        <w:r>
          <w:rPr>
            <w:noProof/>
            <w:webHidden/>
          </w:rPr>
          <w:tab/>
        </w:r>
        <w:r>
          <w:rPr>
            <w:noProof/>
            <w:webHidden/>
          </w:rPr>
          <w:fldChar w:fldCharType="begin"/>
        </w:r>
        <w:r>
          <w:rPr>
            <w:noProof/>
            <w:webHidden/>
          </w:rPr>
          <w:instrText xml:space="preserve"> PAGEREF _Toc389667023 \h </w:instrText>
        </w:r>
        <w:r>
          <w:rPr>
            <w:noProof/>
            <w:webHidden/>
          </w:rPr>
        </w:r>
        <w:r>
          <w:rPr>
            <w:noProof/>
            <w:webHidden/>
          </w:rPr>
          <w:fldChar w:fldCharType="separate"/>
        </w:r>
        <w:r>
          <w:rPr>
            <w:noProof/>
            <w:webHidden/>
          </w:rPr>
          <w:t>45</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4" w:history="1">
        <w:r w:rsidRPr="00CD59DA">
          <w:rPr>
            <w:rStyle w:val="Hipervnculo"/>
            <w:rFonts w:ascii="Arial" w:hAnsi="Arial" w:cs="Arial"/>
            <w:noProof/>
          </w:rPr>
          <w:t>Tabla 11. Cobertura y calidad de formación para el trabajo. Año 2012</w:t>
        </w:r>
        <w:r>
          <w:rPr>
            <w:noProof/>
            <w:webHidden/>
          </w:rPr>
          <w:tab/>
        </w:r>
        <w:r>
          <w:rPr>
            <w:noProof/>
            <w:webHidden/>
          </w:rPr>
          <w:fldChar w:fldCharType="begin"/>
        </w:r>
        <w:r>
          <w:rPr>
            <w:noProof/>
            <w:webHidden/>
          </w:rPr>
          <w:instrText xml:space="preserve"> PAGEREF _Toc389667024 \h </w:instrText>
        </w:r>
        <w:r>
          <w:rPr>
            <w:noProof/>
            <w:webHidden/>
          </w:rPr>
        </w:r>
        <w:r>
          <w:rPr>
            <w:noProof/>
            <w:webHidden/>
          </w:rPr>
          <w:fldChar w:fldCharType="separate"/>
        </w:r>
        <w:r>
          <w:rPr>
            <w:noProof/>
            <w:webHidden/>
          </w:rPr>
          <w:t>48</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5" w:history="1">
        <w:r w:rsidRPr="00CD59DA">
          <w:rPr>
            <w:rStyle w:val="Hipervnculo"/>
            <w:rFonts w:ascii="Arial" w:hAnsi="Arial" w:cs="Arial"/>
            <w:noProof/>
          </w:rPr>
          <w:t>Tabla 12. Oferta de programas institucionales con actividades en el territorio dirigidas a la promoción del empleo</w:t>
        </w:r>
        <w:r>
          <w:rPr>
            <w:noProof/>
            <w:webHidden/>
          </w:rPr>
          <w:tab/>
        </w:r>
        <w:r>
          <w:rPr>
            <w:noProof/>
            <w:webHidden/>
          </w:rPr>
          <w:fldChar w:fldCharType="begin"/>
        </w:r>
        <w:r>
          <w:rPr>
            <w:noProof/>
            <w:webHidden/>
          </w:rPr>
          <w:instrText xml:space="preserve"> PAGEREF _Toc389667025 \h </w:instrText>
        </w:r>
        <w:r>
          <w:rPr>
            <w:noProof/>
            <w:webHidden/>
          </w:rPr>
        </w:r>
        <w:r>
          <w:rPr>
            <w:noProof/>
            <w:webHidden/>
          </w:rPr>
          <w:fldChar w:fldCharType="separate"/>
        </w:r>
        <w:r>
          <w:rPr>
            <w:noProof/>
            <w:webHidden/>
          </w:rPr>
          <w:t>51</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6" w:history="1">
        <w:r w:rsidRPr="00CD59DA">
          <w:rPr>
            <w:rStyle w:val="Hipervnculo"/>
            <w:rFonts w:ascii="Arial" w:hAnsi="Arial" w:cs="Arial"/>
            <w:noProof/>
          </w:rPr>
          <w:t>Tabla 13. Tejido institucional gremial de Bolívar</w:t>
        </w:r>
        <w:r>
          <w:rPr>
            <w:noProof/>
            <w:webHidden/>
          </w:rPr>
          <w:tab/>
        </w:r>
        <w:r>
          <w:rPr>
            <w:noProof/>
            <w:webHidden/>
          </w:rPr>
          <w:fldChar w:fldCharType="begin"/>
        </w:r>
        <w:r>
          <w:rPr>
            <w:noProof/>
            <w:webHidden/>
          </w:rPr>
          <w:instrText xml:space="preserve"> PAGEREF _Toc389667026 \h </w:instrText>
        </w:r>
        <w:r>
          <w:rPr>
            <w:noProof/>
            <w:webHidden/>
          </w:rPr>
        </w:r>
        <w:r>
          <w:rPr>
            <w:noProof/>
            <w:webHidden/>
          </w:rPr>
          <w:fldChar w:fldCharType="separate"/>
        </w:r>
        <w:r>
          <w:rPr>
            <w:noProof/>
            <w:webHidden/>
          </w:rPr>
          <w:t>52</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7" w:history="1">
        <w:r w:rsidRPr="00CD59DA">
          <w:rPr>
            <w:rStyle w:val="Hipervnculo"/>
            <w:rFonts w:ascii="Arial" w:hAnsi="Arial" w:cs="Arial"/>
            <w:noProof/>
          </w:rPr>
          <w:t>Tabla 14. Oferta institucional en el territorio</w:t>
        </w:r>
        <w:r>
          <w:rPr>
            <w:noProof/>
            <w:webHidden/>
          </w:rPr>
          <w:tab/>
        </w:r>
        <w:r>
          <w:rPr>
            <w:noProof/>
            <w:webHidden/>
          </w:rPr>
          <w:fldChar w:fldCharType="begin"/>
        </w:r>
        <w:r>
          <w:rPr>
            <w:noProof/>
            <w:webHidden/>
          </w:rPr>
          <w:instrText xml:space="preserve"> PAGEREF _Toc389667027 \h </w:instrText>
        </w:r>
        <w:r>
          <w:rPr>
            <w:noProof/>
            <w:webHidden/>
          </w:rPr>
        </w:r>
        <w:r>
          <w:rPr>
            <w:noProof/>
            <w:webHidden/>
          </w:rPr>
          <w:fldChar w:fldCharType="separate"/>
        </w:r>
        <w:r>
          <w:rPr>
            <w:noProof/>
            <w:webHidden/>
          </w:rPr>
          <w:t>57</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7028" w:history="1">
        <w:r w:rsidRPr="00CD59DA">
          <w:rPr>
            <w:rStyle w:val="Hipervnculo"/>
            <w:rFonts w:ascii="Arial" w:hAnsi="Arial" w:cs="Arial"/>
            <w:noProof/>
          </w:rPr>
          <w:t>Tabla 15. Programas, metas e indicadores de Bolívar</w:t>
        </w:r>
        <w:r>
          <w:rPr>
            <w:noProof/>
            <w:webHidden/>
          </w:rPr>
          <w:tab/>
        </w:r>
        <w:r>
          <w:rPr>
            <w:noProof/>
            <w:webHidden/>
          </w:rPr>
          <w:fldChar w:fldCharType="begin"/>
        </w:r>
        <w:r>
          <w:rPr>
            <w:noProof/>
            <w:webHidden/>
          </w:rPr>
          <w:instrText xml:space="preserve"> PAGEREF _Toc389667028 \h </w:instrText>
        </w:r>
        <w:r>
          <w:rPr>
            <w:noProof/>
            <w:webHidden/>
          </w:rPr>
        </w:r>
        <w:r>
          <w:rPr>
            <w:noProof/>
            <w:webHidden/>
          </w:rPr>
          <w:fldChar w:fldCharType="separate"/>
        </w:r>
        <w:r>
          <w:rPr>
            <w:noProof/>
            <w:webHidden/>
          </w:rPr>
          <w:t>65</w:t>
        </w:r>
        <w:r>
          <w:rPr>
            <w:noProof/>
            <w:webHidden/>
          </w:rPr>
          <w:fldChar w:fldCharType="end"/>
        </w:r>
      </w:hyperlink>
    </w:p>
    <w:p w:rsidR="00BC4008" w:rsidRDefault="00F34D8D">
      <w:pPr>
        <w:spacing w:line="276" w:lineRule="auto"/>
        <w:jc w:val="both"/>
        <w:rPr>
          <w:rFonts w:ascii="Arial" w:hAnsi="Arial" w:cs="Arial"/>
        </w:rPr>
      </w:pPr>
      <w:r>
        <w:rPr>
          <w:rFonts w:ascii="Arial" w:hAnsi="Arial" w:cs="Arial"/>
        </w:rPr>
        <w:fldChar w:fldCharType="end"/>
      </w: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Pr="00A20008" w:rsidRDefault="00A20008" w:rsidP="00A20008">
      <w:pPr>
        <w:spacing w:line="276" w:lineRule="auto"/>
        <w:jc w:val="center"/>
        <w:rPr>
          <w:rFonts w:ascii="Arial" w:hAnsi="Arial" w:cs="Arial"/>
          <w:b/>
          <w:color w:val="C00000"/>
          <w:sz w:val="24"/>
          <w:szCs w:val="24"/>
        </w:rPr>
      </w:pPr>
      <w:r w:rsidRPr="00A20008">
        <w:rPr>
          <w:rFonts w:ascii="Arial" w:hAnsi="Arial" w:cs="Arial"/>
          <w:b/>
          <w:color w:val="C00000"/>
          <w:sz w:val="24"/>
          <w:szCs w:val="24"/>
        </w:rPr>
        <w:t>Índice de gráficos</w:t>
      </w:r>
    </w:p>
    <w:p w:rsidR="00BC4008" w:rsidRPr="0065647E" w:rsidRDefault="00BC4008">
      <w:pPr>
        <w:spacing w:line="276" w:lineRule="auto"/>
        <w:jc w:val="both"/>
        <w:rPr>
          <w:rFonts w:ascii="Arial" w:hAnsi="Arial" w:cs="Arial"/>
        </w:rPr>
      </w:pPr>
    </w:p>
    <w:p w:rsidR="000D2C52" w:rsidRDefault="00A20008">
      <w:pPr>
        <w:pStyle w:val="Tabladeilustraciones"/>
        <w:tabs>
          <w:tab w:val="right" w:leader="dot" w:pos="8828"/>
        </w:tabs>
        <w:rPr>
          <w:rFonts w:asciiTheme="minorHAnsi" w:eastAsiaTheme="minorEastAsia" w:hAnsiTheme="minorHAnsi" w:cstheme="minorBidi"/>
          <w:noProof/>
          <w:lang w:eastAsia="es-ES"/>
        </w:rPr>
      </w:pPr>
      <w:r w:rsidRPr="000E62F2">
        <w:rPr>
          <w:rFonts w:ascii="Arial" w:hAnsi="Arial" w:cs="Arial"/>
        </w:rPr>
        <w:fldChar w:fldCharType="begin"/>
      </w:r>
      <w:r w:rsidRPr="0065647E">
        <w:rPr>
          <w:rFonts w:ascii="Arial" w:hAnsi="Arial" w:cs="Arial"/>
        </w:rPr>
        <w:instrText xml:space="preserve"> TOC \h \z \c "Gráfico" </w:instrText>
      </w:r>
      <w:r w:rsidRPr="000E62F2">
        <w:rPr>
          <w:rFonts w:ascii="Arial" w:hAnsi="Arial" w:cs="Arial"/>
        </w:rPr>
        <w:fldChar w:fldCharType="separate"/>
      </w:r>
      <w:hyperlink w:anchor="_Toc389666957" w:history="1">
        <w:r w:rsidR="000D2C52" w:rsidRPr="001235D5">
          <w:rPr>
            <w:rStyle w:val="Hipervnculo"/>
            <w:rFonts w:ascii="Arial" w:hAnsi="Arial" w:cs="Arial"/>
            <w:noProof/>
          </w:rPr>
          <w:t>Gráfico 1. Metodología Formulación (PDE)</w:t>
        </w:r>
        <w:r w:rsidR="000D2C52">
          <w:rPr>
            <w:noProof/>
            <w:webHidden/>
          </w:rPr>
          <w:tab/>
        </w:r>
        <w:r w:rsidR="000D2C52">
          <w:rPr>
            <w:noProof/>
            <w:webHidden/>
          </w:rPr>
          <w:fldChar w:fldCharType="begin"/>
        </w:r>
        <w:r w:rsidR="000D2C52">
          <w:rPr>
            <w:noProof/>
            <w:webHidden/>
          </w:rPr>
          <w:instrText xml:space="preserve"> PAGEREF _Toc389666957 \h </w:instrText>
        </w:r>
        <w:r w:rsidR="000D2C52">
          <w:rPr>
            <w:noProof/>
            <w:webHidden/>
          </w:rPr>
        </w:r>
        <w:r w:rsidR="000D2C52">
          <w:rPr>
            <w:noProof/>
            <w:webHidden/>
          </w:rPr>
          <w:fldChar w:fldCharType="separate"/>
        </w:r>
        <w:r w:rsidR="000D2C52">
          <w:rPr>
            <w:noProof/>
            <w:webHidden/>
          </w:rPr>
          <w:t>9</w:t>
        </w:r>
        <w:r w:rsidR="000D2C52">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58" w:history="1">
        <w:r w:rsidRPr="001235D5">
          <w:rPr>
            <w:rStyle w:val="Hipervnculo"/>
            <w:rFonts w:ascii="Arial" w:hAnsi="Arial" w:cs="Arial"/>
            <w:noProof/>
          </w:rPr>
          <w:t>Gráfico 2. Densidad poblacional, año 2012</w:t>
        </w:r>
        <w:r>
          <w:rPr>
            <w:noProof/>
            <w:webHidden/>
          </w:rPr>
          <w:tab/>
        </w:r>
        <w:r>
          <w:rPr>
            <w:noProof/>
            <w:webHidden/>
          </w:rPr>
          <w:fldChar w:fldCharType="begin"/>
        </w:r>
        <w:r>
          <w:rPr>
            <w:noProof/>
            <w:webHidden/>
          </w:rPr>
          <w:instrText xml:space="preserve"> PAGEREF _Toc389666958 \h </w:instrText>
        </w:r>
        <w:r>
          <w:rPr>
            <w:noProof/>
            <w:webHidden/>
          </w:rPr>
        </w:r>
        <w:r>
          <w:rPr>
            <w:noProof/>
            <w:webHidden/>
          </w:rPr>
          <w:fldChar w:fldCharType="separate"/>
        </w:r>
        <w:r>
          <w:rPr>
            <w:noProof/>
            <w:webHidden/>
          </w:rPr>
          <w:t>14</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59" w:history="1">
        <w:r w:rsidRPr="001235D5">
          <w:rPr>
            <w:rStyle w:val="Hipervnculo"/>
            <w:rFonts w:ascii="Arial" w:hAnsi="Arial" w:cs="Arial"/>
            <w:noProof/>
          </w:rPr>
          <w:t>Gráfico 3. Habitantes por grupo de edades, pirámide poblacional 1993 – 2012</w:t>
        </w:r>
        <w:r>
          <w:rPr>
            <w:noProof/>
            <w:webHidden/>
          </w:rPr>
          <w:tab/>
        </w:r>
        <w:r>
          <w:rPr>
            <w:noProof/>
            <w:webHidden/>
          </w:rPr>
          <w:fldChar w:fldCharType="begin"/>
        </w:r>
        <w:r>
          <w:rPr>
            <w:noProof/>
            <w:webHidden/>
          </w:rPr>
          <w:instrText xml:space="preserve"> PAGEREF _Toc389666959 \h </w:instrText>
        </w:r>
        <w:r>
          <w:rPr>
            <w:noProof/>
            <w:webHidden/>
          </w:rPr>
        </w:r>
        <w:r>
          <w:rPr>
            <w:noProof/>
            <w:webHidden/>
          </w:rPr>
          <w:fldChar w:fldCharType="separate"/>
        </w:r>
        <w:r>
          <w:rPr>
            <w:noProof/>
            <w:webHidden/>
          </w:rPr>
          <w:t>16</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0" w:history="1">
        <w:r w:rsidRPr="001235D5">
          <w:rPr>
            <w:rStyle w:val="Hipervnculo"/>
            <w:rFonts w:ascii="Arial" w:hAnsi="Arial" w:cs="Arial"/>
            <w:noProof/>
          </w:rPr>
          <w:t>Gráfico 4. Bolívar y total Nacional Tasas específicas de fecundidad, 2005-2010</w:t>
        </w:r>
        <w:r>
          <w:rPr>
            <w:noProof/>
            <w:webHidden/>
          </w:rPr>
          <w:tab/>
        </w:r>
        <w:r>
          <w:rPr>
            <w:noProof/>
            <w:webHidden/>
          </w:rPr>
          <w:fldChar w:fldCharType="begin"/>
        </w:r>
        <w:r>
          <w:rPr>
            <w:noProof/>
            <w:webHidden/>
          </w:rPr>
          <w:instrText xml:space="preserve"> PAGEREF _Toc389666960 \h </w:instrText>
        </w:r>
        <w:r>
          <w:rPr>
            <w:noProof/>
            <w:webHidden/>
          </w:rPr>
        </w:r>
        <w:r>
          <w:rPr>
            <w:noProof/>
            <w:webHidden/>
          </w:rPr>
          <w:fldChar w:fldCharType="separate"/>
        </w:r>
        <w:r>
          <w:rPr>
            <w:noProof/>
            <w:webHidden/>
          </w:rPr>
          <w:t>17</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1" w:history="1">
        <w:r w:rsidRPr="001235D5">
          <w:rPr>
            <w:rStyle w:val="Hipervnculo"/>
            <w:rFonts w:ascii="Arial" w:hAnsi="Arial" w:cs="Arial"/>
            <w:noProof/>
          </w:rPr>
          <w:t>Gráfico 5. Bolívar y total Nacional Saldo Neto Migratorio por quinquenios</w:t>
        </w:r>
        <w:r>
          <w:rPr>
            <w:noProof/>
            <w:webHidden/>
          </w:rPr>
          <w:tab/>
        </w:r>
        <w:r>
          <w:rPr>
            <w:noProof/>
            <w:webHidden/>
          </w:rPr>
          <w:fldChar w:fldCharType="begin"/>
        </w:r>
        <w:r>
          <w:rPr>
            <w:noProof/>
            <w:webHidden/>
          </w:rPr>
          <w:instrText xml:space="preserve"> PAGEREF _Toc389666961 \h </w:instrText>
        </w:r>
        <w:r>
          <w:rPr>
            <w:noProof/>
            <w:webHidden/>
          </w:rPr>
        </w:r>
        <w:r>
          <w:rPr>
            <w:noProof/>
            <w:webHidden/>
          </w:rPr>
          <w:fldChar w:fldCharType="separate"/>
        </w:r>
        <w:r>
          <w:rPr>
            <w:noProof/>
            <w:webHidden/>
          </w:rPr>
          <w:t>17</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2" w:history="1">
        <w:r w:rsidRPr="001235D5">
          <w:rPr>
            <w:rStyle w:val="Hipervnculo"/>
            <w:rFonts w:ascii="Arial" w:hAnsi="Arial" w:cs="Arial"/>
            <w:noProof/>
          </w:rPr>
          <w:t>Gráfico 6. Tasa de crecimiento económico en Colombia y Bolívar a precios constantes 2005, años 2001- 2011</w:t>
        </w:r>
        <w:r>
          <w:rPr>
            <w:noProof/>
            <w:webHidden/>
          </w:rPr>
          <w:tab/>
        </w:r>
        <w:r>
          <w:rPr>
            <w:noProof/>
            <w:webHidden/>
          </w:rPr>
          <w:fldChar w:fldCharType="begin"/>
        </w:r>
        <w:r>
          <w:rPr>
            <w:noProof/>
            <w:webHidden/>
          </w:rPr>
          <w:instrText xml:space="preserve"> PAGEREF _Toc389666962 \h </w:instrText>
        </w:r>
        <w:r>
          <w:rPr>
            <w:noProof/>
            <w:webHidden/>
          </w:rPr>
        </w:r>
        <w:r>
          <w:rPr>
            <w:noProof/>
            <w:webHidden/>
          </w:rPr>
          <w:fldChar w:fldCharType="separate"/>
        </w:r>
        <w:r>
          <w:rPr>
            <w:noProof/>
            <w:webHidden/>
          </w:rPr>
          <w:t>18</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3" w:history="1">
        <w:r w:rsidRPr="001235D5">
          <w:rPr>
            <w:rStyle w:val="Hipervnculo"/>
            <w:rFonts w:ascii="Arial" w:hAnsi="Arial" w:cs="Arial"/>
            <w:noProof/>
          </w:rPr>
          <w:t>Gráfico 7. Participación del Bolívar en el PIB nacional</w:t>
        </w:r>
        <w:r>
          <w:rPr>
            <w:noProof/>
            <w:webHidden/>
          </w:rPr>
          <w:tab/>
        </w:r>
        <w:r>
          <w:rPr>
            <w:noProof/>
            <w:webHidden/>
          </w:rPr>
          <w:fldChar w:fldCharType="begin"/>
        </w:r>
        <w:r>
          <w:rPr>
            <w:noProof/>
            <w:webHidden/>
          </w:rPr>
          <w:instrText xml:space="preserve"> PAGEREF _Toc389666963 \h </w:instrText>
        </w:r>
        <w:r>
          <w:rPr>
            <w:noProof/>
            <w:webHidden/>
          </w:rPr>
        </w:r>
        <w:r>
          <w:rPr>
            <w:noProof/>
            <w:webHidden/>
          </w:rPr>
          <w:fldChar w:fldCharType="separate"/>
        </w:r>
        <w:r>
          <w:rPr>
            <w:noProof/>
            <w:webHidden/>
          </w:rPr>
          <w:t>19</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4" w:history="1">
        <w:r w:rsidRPr="001235D5">
          <w:rPr>
            <w:rStyle w:val="Hipervnculo"/>
            <w:rFonts w:ascii="Arial" w:hAnsi="Arial" w:cs="Arial"/>
            <w:noProof/>
          </w:rPr>
          <w:t>Gráfico 8. Bolívar, Participación porcentual departamental del valor agregado por grandes ramas de actividad económica, precios corrientes 2001 -2012</w:t>
        </w:r>
        <w:r>
          <w:rPr>
            <w:noProof/>
            <w:webHidden/>
          </w:rPr>
          <w:tab/>
        </w:r>
        <w:r>
          <w:rPr>
            <w:noProof/>
            <w:webHidden/>
          </w:rPr>
          <w:fldChar w:fldCharType="begin"/>
        </w:r>
        <w:r>
          <w:rPr>
            <w:noProof/>
            <w:webHidden/>
          </w:rPr>
          <w:instrText xml:space="preserve"> PAGEREF _Toc389666964 \h </w:instrText>
        </w:r>
        <w:r>
          <w:rPr>
            <w:noProof/>
            <w:webHidden/>
          </w:rPr>
        </w:r>
        <w:r>
          <w:rPr>
            <w:noProof/>
            <w:webHidden/>
          </w:rPr>
          <w:fldChar w:fldCharType="separate"/>
        </w:r>
        <w:r>
          <w:rPr>
            <w:noProof/>
            <w:webHidden/>
          </w:rPr>
          <w:t>20</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5" w:history="1">
        <w:r w:rsidRPr="001235D5">
          <w:rPr>
            <w:rStyle w:val="Hipervnculo"/>
            <w:rFonts w:ascii="Arial" w:hAnsi="Arial" w:cs="Arial"/>
            <w:noProof/>
          </w:rPr>
          <w:t>Gráfico 9. Diagrama de dispersión del PIB per cápita y la tasa de crecimiento del PIB</w:t>
        </w:r>
        <w:r>
          <w:rPr>
            <w:noProof/>
            <w:webHidden/>
          </w:rPr>
          <w:tab/>
        </w:r>
        <w:r>
          <w:rPr>
            <w:noProof/>
            <w:webHidden/>
          </w:rPr>
          <w:fldChar w:fldCharType="begin"/>
        </w:r>
        <w:r>
          <w:rPr>
            <w:noProof/>
            <w:webHidden/>
          </w:rPr>
          <w:instrText xml:space="preserve"> PAGEREF _Toc389666965 \h </w:instrText>
        </w:r>
        <w:r>
          <w:rPr>
            <w:noProof/>
            <w:webHidden/>
          </w:rPr>
        </w:r>
        <w:r>
          <w:rPr>
            <w:noProof/>
            <w:webHidden/>
          </w:rPr>
          <w:fldChar w:fldCharType="separate"/>
        </w:r>
        <w:r>
          <w:rPr>
            <w:noProof/>
            <w:webHidden/>
          </w:rPr>
          <w:t>22</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6" w:history="1">
        <w:r w:rsidRPr="001235D5">
          <w:rPr>
            <w:rStyle w:val="Hipervnculo"/>
            <w:rFonts w:ascii="Arial" w:hAnsi="Arial" w:cs="Arial"/>
            <w:noProof/>
          </w:rPr>
          <w:t>Gráfico 10. Participación de población en edad de trabajar en la población total. Nacional, Bolívar, Áreas metropolitanas. 2001 – 2012</w:t>
        </w:r>
        <w:r>
          <w:rPr>
            <w:noProof/>
            <w:webHidden/>
          </w:rPr>
          <w:tab/>
        </w:r>
        <w:r>
          <w:rPr>
            <w:noProof/>
            <w:webHidden/>
          </w:rPr>
          <w:fldChar w:fldCharType="begin"/>
        </w:r>
        <w:r>
          <w:rPr>
            <w:noProof/>
            <w:webHidden/>
          </w:rPr>
          <w:instrText xml:space="preserve"> PAGEREF _Toc389666966 \h </w:instrText>
        </w:r>
        <w:r>
          <w:rPr>
            <w:noProof/>
            <w:webHidden/>
          </w:rPr>
        </w:r>
        <w:r>
          <w:rPr>
            <w:noProof/>
            <w:webHidden/>
          </w:rPr>
          <w:fldChar w:fldCharType="separate"/>
        </w:r>
        <w:r>
          <w:rPr>
            <w:noProof/>
            <w:webHidden/>
          </w:rPr>
          <w:t>24</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7" w:history="1">
        <w:r w:rsidRPr="001235D5">
          <w:rPr>
            <w:rStyle w:val="Hipervnculo"/>
            <w:rFonts w:ascii="Arial" w:hAnsi="Arial" w:cs="Arial"/>
            <w:noProof/>
          </w:rPr>
          <w:t>Gráfico 11. Población Económicamente Inactiva. Bolívar 2001 – 2012</w:t>
        </w:r>
        <w:r>
          <w:rPr>
            <w:noProof/>
            <w:webHidden/>
          </w:rPr>
          <w:tab/>
        </w:r>
        <w:r>
          <w:rPr>
            <w:noProof/>
            <w:webHidden/>
          </w:rPr>
          <w:fldChar w:fldCharType="begin"/>
        </w:r>
        <w:r>
          <w:rPr>
            <w:noProof/>
            <w:webHidden/>
          </w:rPr>
          <w:instrText xml:space="preserve"> PAGEREF _Toc389666967 \h </w:instrText>
        </w:r>
        <w:r>
          <w:rPr>
            <w:noProof/>
            <w:webHidden/>
          </w:rPr>
        </w:r>
        <w:r>
          <w:rPr>
            <w:noProof/>
            <w:webHidden/>
          </w:rPr>
          <w:fldChar w:fldCharType="separate"/>
        </w:r>
        <w:r>
          <w:rPr>
            <w:noProof/>
            <w:webHidden/>
          </w:rPr>
          <w:t>25</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8" w:history="1">
        <w:r w:rsidRPr="001235D5">
          <w:rPr>
            <w:rStyle w:val="Hipervnculo"/>
            <w:rFonts w:ascii="Arial" w:hAnsi="Arial" w:cs="Arial"/>
            <w:noProof/>
          </w:rPr>
          <w:t>Gráfico 12. Tasa Global de Participación. Nacional, Bolívar y Cartagena (2001 - 2012)</w:t>
        </w:r>
        <w:r>
          <w:rPr>
            <w:noProof/>
            <w:webHidden/>
          </w:rPr>
          <w:tab/>
        </w:r>
        <w:r>
          <w:rPr>
            <w:noProof/>
            <w:webHidden/>
          </w:rPr>
          <w:fldChar w:fldCharType="begin"/>
        </w:r>
        <w:r>
          <w:rPr>
            <w:noProof/>
            <w:webHidden/>
          </w:rPr>
          <w:instrText xml:space="preserve"> PAGEREF _Toc389666968 \h </w:instrText>
        </w:r>
        <w:r>
          <w:rPr>
            <w:noProof/>
            <w:webHidden/>
          </w:rPr>
        </w:r>
        <w:r>
          <w:rPr>
            <w:noProof/>
            <w:webHidden/>
          </w:rPr>
          <w:fldChar w:fldCharType="separate"/>
        </w:r>
        <w:r>
          <w:rPr>
            <w:noProof/>
            <w:webHidden/>
          </w:rPr>
          <w:t>26</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69" w:history="1">
        <w:r w:rsidRPr="001235D5">
          <w:rPr>
            <w:rStyle w:val="Hipervnculo"/>
            <w:rFonts w:ascii="Arial" w:hAnsi="Arial" w:cs="Arial"/>
            <w:noProof/>
          </w:rPr>
          <w:t>Gráfico 13. Tasa Global de Participación. Nacional, Región Caribe y 13 Áreas metropolitanas (2011 - 2012)</w:t>
        </w:r>
        <w:r>
          <w:rPr>
            <w:noProof/>
            <w:webHidden/>
          </w:rPr>
          <w:tab/>
        </w:r>
        <w:r>
          <w:rPr>
            <w:noProof/>
            <w:webHidden/>
          </w:rPr>
          <w:fldChar w:fldCharType="begin"/>
        </w:r>
        <w:r>
          <w:rPr>
            <w:noProof/>
            <w:webHidden/>
          </w:rPr>
          <w:instrText xml:space="preserve"> PAGEREF _Toc389666969 \h </w:instrText>
        </w:r>
        <w:r>
          <w:rPr>
            <w:noProof/>
            <w:webHidden/>
          </w:rPr>
        </w:r>
        <w:r>
          <w:rPr>
            <w:noProof/>
            <w:webHidden/>
          </w:rPr>
          <w:fldChar w:fldCharType="separate"/>
        </w:r>
        <w:r>
          <w:rPr>
            <w:noProof/>
            <w:webHidden/>
          </w:rPr>
          <w:t>26</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0" w:history="1">
        <w:r w:rsidRPr="001235D5">
          <w:rPr>
            <w:rStyle w:val="Hipervnculo"/>
            <w:rFonts w:ascii="Arial" w:eastAsiaTheme="minorHAnsi" w:hAnsi="Arial" w:cs="Arial"/>
            <w:noProof/>
            <w:lang w:val="es-CO"/>
          </w:rPr>
          <w:t>Gráfico 14. Tasa de Ocupación. Nacional, región Caribe y 13 áreas metropolitanas (2011 - 2012)</w:t>
        </w:r>
        <w:r>
          <w:rPr>
            <w:noProof/>
            <w:webHidden/>
          </w:rPr>
          <w:tab/>
        </w:r>
        <w:r>
          <w:rPr>
            <w:noProof/>
            <w:webHidden/>
          </w:rPr>
          <w:fldChar w:fldCharType="begin"/>
        </w:r>
        <w:r>
          <w:rPr>
            <w:noProof/>
            <w:webHidden/>
          </w:rPr>
          <w:instrText xml:space="preserve"> PAGEREF _Toc389666970 \h </w:instrText>
        </w:r>
        <w:r>
          <w:rPr>
            <w:noProof/>
            <w:webHidden/>
          </w:rPr>
        </w:r>
        <w:r>
          <w:rPr>
            <w:noProof/>
            <w:webHidden/>
          </w:rPr>
          <w:fldChar w:fldCharType="separate"/>
        </w:r>
        <w:r>
          <w:rPr>
            <w:noProof/>
            <w:webHidden/>
          </w:rPr>
          <w:t>28</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1" w:history="1">
        <w:r w:rsidRPr="001235D5">
          <w:rPr>
            <w:rStyle w:val="Hipervnculo"/>
            <w:rFonts w:ascii="Arial" w:eastAsiaTheme="minorHAnsi" w:hAnsi="Arial" w:cs="Arial"/>
            <w:noProof/>
            <w:lang w:val="es-CO"/>
          </w:rPr>
          <w:t>Gráfico 15. Ocupados por rama de actividad. Bolívar (2012)</w:t>
        </w:r>
        <w:r>
          <w:rPr>
            <w:noProof/>
            <w:webHidden/>
          </w:rPr>
          <w:tab/>
        </w:r>
        <w:r>
          <w:rPr>
            <w:noProof/>
            <w:webHidden/>
          </w:rPr>
          <w:fldChar w:fldCharType="begin"/>
        </w:r>
        <w:r>
          <w:rPr>
            <w:noProof/>
            <w:webHidden/>
          </w:rPr>
          <w:instrText xml:space="preserve"> PAGEREF _Toc389666971 \h </w:instrText>
        </w:r>
        <w:r>
          <w:rPr>
            <w:noProof/>
            <w:webHidden/>
          </w:rPr>
        </w:r>
        <w:r>
          <w:rPr>
            <w:noProof/>
            <w:webHidden/>
          </w:rPr>
          <w:fldChar w:fldCharType="separate"/>
        </w:r>
        <w:r>
          <w:rPr>
            <w:noProof/>
            <w:webHidden/>
          </w:rPr>
          <w:t>29</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2" w:history="1">
        <w:r w:rsidRPr="001235D5">
          <w:rPr>
            <w:rStyle w:val="Hipervnculo"/>
            <w:rFonts w:ascii="Arial" w:eastAsiaTheme="minorHAnsi" w:hAnsi="Arial" w:cs="Arial"/>
            <w:noProof/>
            <w:lang w:val="es-CO"/>
          </w:rPr>
          <w:t>Gráfico 16. Ocupados por posición ocupacional. Bolívar (2012)</w:t>
        </w:r>
        <w:r>
          <w:rPr>
            <w:noProof/>
            <w:webHidden/>
          </w:rPr>
          <w:tab/>
        </w:r>
        <w:r>
          <w:rPr>
            <w:noProof/>
            <w:webHidden/>
          </w:rPr>
          <w:fldChar w:fldCharType="begin"/>
        </w:r>
        <w:r>
          <w:rPr>
            <w:noProof/>
            <w:webHidden/>
          </w:rPr>
          <w:instrText xml:space="preserve"> PAGEREF _Toc389666972 \h </w:instrText>
        </w:r>
        <w:r>
          <w:rPr>
            <w:noProof/>
            <w:webHidden/>
          </w:rPr>
        </w:r>
        <w:r>
          <w:rPr>
            <w:noProof/>
            <w:webHidden/>
          </w:rPr>
          <w:fldChar w:fldCharType="separate"/>
        </w:r>
        <w:r>
          <w:rPr>
            <w:noProof/>
            <w:webHidden/>
          </w:rPr>
          <w:t>30</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3" w:history="1">
        <w:r w:rsidRPr="001235D5">
          <w:rPr>
            <w:rStyle w:val="Hipervnculo"/>
            <w:rFonts w:ascii="Arial" w:eastAsiaTheme="minorHAnsi" w:hAnsi="Arial" w:cs="Arial"/>
            <w:noProof/>
            <w:lang w:val="es-CO"/>
          </w:rPr>
          <w:t>Gráfico 17. Desempleados a nivel departamental. Bolívar (2012)</w:t>
        </w:r>
        <w:r>
          <w:rPr>
            <w:noProof/>
            <w:webHidden/>
          </w:rPr>
          <w:tab/>
        </w:r>
        <w:r>
          <w:rPr>
            <w:noProof/>
            <w:webHidden/>
          </w:rPr>
          <w:fldChar w:fldCharType="begin"/>
        </w:r>
        <w:r>
          <w:rPr>
            <w:noProof/>
            <w:webHidden/>
          </w:rPr>
          <w:instrText xml:space="preserve"> PAGEREF _Toc389666973 \h </w:instrText>
        </w:r>
        <w:r>
          <w:rPr>
            <w:noProof/>
            <w:webHidden/>
          </w:rPr>
        </w:r>
        <w:r>
          <w:rPr>
            <w:noProof/>
            <w:webHidden/>
          </w:rPr>
          <w:fldChar w:fldCharType="separate"/>
        </w:r>
        <w:r>
          <w:rPr>
            <w:noProof/>
            <w:webHidden/>
          </w:rPr>
          <w:t>31</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4" w:history="1">
        <w:r w:rsidRPr="001235D5">
          <w:rPr>
            <w:rStyle w:val="Hipervnculo"/>
            <w:rFonts w:ascii="Arial" w:hAnsi="Arial" w:cs="Arial"/>
            <w:noProof/>
          </w:rPr>
          <w:t>Gráfico 18. Posición relativa del departamento de Bolívar en TD</w:t>
        </w:r>
        <w:r>
          <w:rPr>
            <w:noProof/>
            <w:webHidden/>
          </w:rPr>
          <w:tab/>
        </w:r>
        <w:r>
          <w:rPr>
            <w:noProof/>
            <w:webHidden/>
          </w:rPr>
          <w:fldChar w:fldCharType="begin"/>
        </w:r>
        <w:r>
          <w:rPr>
            <w:noProof/>
            <w:webHidden/>
          </w:rPr>
          <w:instrText xml:space="preserve"> PAGEREF _Toc389666974 \h </w:instrText>
        </w:r>
        <w:r>
          <w:rPr>
            <w:noProof/>
            <w:webHidden/>
          </w:rPr>
        </w:r>
        <w:r>
          <w:rPr>
            <w:noProof/>
            <w:webHidden/>
          </w:rPr>
          <w:fldChar w:fldCharType="separate"/>
        </w:r>
        <w:r>
          <w:rPr>
            <w:noProof/>
            <w:webHidden/>
          </w:rPr>
          <w:t>32</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5" w:history="1">
        <w:r w:rsidRPr="001235D5">
          <w:rPr>
            <w:rStyle w:val="Hipervnculo"/>
            <w:rFonts w:ascii="Arial" w:hAnsi="Arial" w:cs="Arial"/>
            <w:noProof/>
          </w:rPr>
          <w:t>Gráfico 19. Posición relativa del departamento de Bolívar en TO</w:t>
        </w:r>
        <w:r>
          <w:rPr>
            <w:noProof/>
            <w:webHidden/>
          </w:rPr>
          <w:tab/>
        </w:r>
        <w:r>
          <w:rPr>
            <w:noProof/>
            <w:webHidden/>
          </w:rPr>
          <w:fldChar w:fldCharType="begin"/>
        </w:r>
        <w:r>
          <w:rPr>
            <w:noProof/>
            <w:webHidden/>
          </w:rPr>
          <w:instrText xml:space="preserve"> PAGEREF _Toc389666975 \h </w:instrText>
        </w:r>
        <w:r>
          <w:rPr>
            <w:noProof/>
            <w:webHidden/>
          </w:rPr>
        </w:r>
        <w:r>
          <w:rPr>
            <w:noProof/>
            <w:webHidden/>
          </w:rPr>
          <w:fldChar w:fldCharType="separate"/>
        </w:r>
        <w:r>
          <w:rPr>
            <w:noProof/>
            <w:webHidden/>
          </w:rPr>
          <w:t>33</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6" w:history="1">
        <w:r w:rsidRPr="001235D5">
          <w:rPr>
            <w:rStyle w:val="Hipervnculo"/>
            <w:rFonts w:ascii="Arial" w:hAnsi="Arial" w:cs="Arial"/>
            <w:noProof/>
          </w:rPr>
          <w:t>Gráfico 20</w:t>
        </w:r>
        <w:r w:rsidRPr="001235D5">
          <w:rPr>
            <w:rStyle w:val="Hipervnculo"/>
            <w:rFonts w:ascii="Arial" w:eastAsiaTheme="minorHAnsi" w:hAnsi="Arial" w:cs="Arial"/>
            <w:noProof/>
            <w:lang w:val="es-CO"/>
          </w:rPr>
          <w:t>. Efecto oferta y efecto demanda en el mercado laboral de Bolívar</w:t>
        </w:r>
        <w:r>
          <w:rPr>
            <w:noProof/>
            <w:webHidden/>
          </w:rPr>
          <w:tab/>
        </w:r>
        <w:r>
          <w:rPr>
            <w:noProof/>
            <w:webHidden/>
          </w:rPr>
          <w:fldChar w:fldCharType="begin"/>
        </w:r>
        <w:r>
          <w:rPr>
            <w:noProof/>
            <w:webHidden/>
          </w:rPr>
          <w:instrText xml:space="preserve"> PAGEREF _Toc389666976 \h </w:instrText>
        </w:r>
        <w:r>
          <w:rPr>
            <w:noProof/>
            <w:webHidden/>
          </w:rPr>
        </w:r>
        <w:r>
          <w:rPr>
            <w:noProof/>
            <w:webHidden/>
          </w:rPr>
          <w:fldChar w:fldCharType="separate"/>
        </w:r>
        <w:r>
          <w:rPr>
            <w:noProof/>
            <w:webHidden/>
          </w:rPr>
          <w:t>34</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7" w:history="1">
        <w:r w:rsidRPr="001235D5">
          <w:rPr>
            <w:rStyle w:val="Hipervnculo"/>
            <w:rFonts w:ascii="Arial" w:hAnsi="Arial" w:cs="Arial"/>
            <w:noProof/>
          </w:rPr>
          <w:t>Gráfico 21</w:t>
        </w:r>
        <w:r w:rsidRPr="001235D5">
          <w:rPr>
            <w:rStyle w:val="Hipervnculo"/>
            <w:rFonts w:ascii="Arial" w:eastAsiaTheme="minorHAnsi" w:hAnsi="Arial" w:cs="Arial"/>
            <w:noProof/>
            <w:lang w:val="es-CO"/>
          </w:rPr>
          <w:t>. Efecto participación y efecto demográfico en el mercado laboral de Bolívar</w:t>
        </w:r>
        <w:r>
          <w:rPr>
            <w:noProof/>
            <w:webHidden/>
          </w:rPr>
          <w:tab/>
        </w:r>
        <w:r>
          <w:rPr>
            <w:noProof/>
            <w:webHidden/>
          </w:rPr>
          <w:fldChar w:fldCharType="begin"/>
        </w:r>
        <w:r>
          <w:rPr>
            <w:noProof/>
            <w:webHidden/>
          </w:rPr>
          <w:instrText xml:space="preserve"> PAGEREF _Toc389666977 \h </w:instrText>
        </w:r>
        <w:r>
          <w:rPr>
            <w:noProof/>
            <w:webHidden/>
          </w:rPr>
        </w:r>
        <w:r>
          <w:rPr>
            <w:noProof/>
            <w:webHidden/>
          </w:rPr>
          <w:fldChar w:fldCharType="separate"/>
        </w:r>
        <w:r>
          <w:rPr>
            <w:noProof/>
            <w:webHidden/>
          </w:rPr>
          <w:t>35</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8" w:history="1">
        <w:r w:rsidRPr="001235D5">
          <w:rPr>
            <w:rStyle w:val="Hipervnculo"/>
            <w:rFonts w:ascii="Arial" w:eastAsiaTheme="minorHAnsi" w:hAnsi="Arial" w:cs="Arial"/>
            <w:noProof/>
            <w:lang w:val="es-CO"/>
          </w:rPr>
          <w:t>Gráfico 22. Tasa de subempleo subjetivo, Bolívar (2001 - 2012)</w:t>
        </w:r>
        <w:r>
          <w:rPr>
            <w:noProof/>
            <w:webHidden/>
          </w:rPr>
          <w:tab/>
        </w:r>
        <w:r>
          <w:rPr>
            <w:noProof/>
            <w:webHidden/>
          </w:rPr>
          <w:fldChar w:fldCharType="begin"/>
        </w:r>
        <w:r>
          <w:rPr>
            <w:noProof/>
            <w:webHidden/>
          </w:rPr>
          <w:instrText xml:space="preserve"> PAGEREF _Toc389666978 \h </w:instrText>
        </w:r>
        <w:r>
          <w:rPr>
            <w:noProof/>
            <w:webHidden/>
          </w:rPr>
        </w:r>
        <w:r>
          <w:rPr>
            <w:noProof/>
            <w:webHidden/>
          </w:rPr>
          <w:fldChar w:fldCharType="separate"/>
        </w:r>
        <w:r>
          <w:rPr>
            <w:noProof/>
            <w:webHidden/>
          </w:rPr>
          <w:t>37</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79" w:history="1">
        <w:r w:rsidRPr="001235D5">
          <w:rPr>
            <w:rStyle w:val="Hipervnculo"/>
            <w:rFonts w:ascii="Arial" w:eastAsiaTheme="minorHAnsi" w:hAnsi="Arial" w:cs="Arial"/>
            <w:noProof/>
            <w:lang w:val="es-CO"/>
          </w:rPr>
          <w:t>Gráfico 23. Informalidad laboral en Bolívar año 2012</w:t>
        </w:r>
        <w:r>
          <w:rPr>
            <w:noProof/>
            <w:webHidden/>
          </w:rPr>
          <w:tab/>
        </w:r>
        <w:r>
          <w:rPr>
            <w:noProof/>
            <w:webHidden/>
          </w:rPr>
          <w:fldChar w:fldCharType="begin"/>
        </w:r>
        <w:r>
          <w:rPr>
            <w:noProof/>
            <w:webHidden/>
          </w:rPr>
          <w:instrText xml:space="preserve"> PAGEREF _Toc389666979 \h </w:instrText>
        </w:r>
        <w:r>
          <w:rPr>
            <w:noProof/>
            <w:webHidden/>
          </w:rPr>
        </w:r>
        <w:r>
          <w:rPr>
            <w:noProof/>
            <w:webHidden/>
          </w:rPr>
          <w:fldChar w:fldCharType="separate"/>
        </w:r>
        <w:r>
          <w:rPr>
            <w:noProof/>
            <w:webHidden/>
          </w:rPr>
          <w:t>38</w:t>
        </w:r>
        <w:r>
          <w:rPr>
            <w:noProof/>
            <w:webHidden/>
          </w:rPr>
          <w:fldChar w:fldCharType="end"/>
        </w:r>
      </w:hyperlink>
    </w:p>
    <w:p w:rsidR="000D2C52" w:rsidRDefault="000D2C52">
      <w:pPr>
        <w:pStyle w:val="Tabladeilustraciones"/>
        <w:tabs>
          <w:tab w:val="right" w:leader="dot" w:pos="8828"/>
        </w:tabs>
        <w:rPr>
          <w:rFonts w:asciiTheme="minorHAnsi" w:eastAsiaTheme="minorEastAsia" w:hAnsiTheme="minorHAnsi" w:cstheme="minorBidi"/>
          <w:noProof/>
          <w:lang w:eastAsia="es-ES"/>
        </w:rPr>
      </w:pPr>
      <w:hyperlink w:anchor="_Toc389666980" w:history="1">
        <w:r w:rsidRPr="001235D5">
          <w:rPr>
            <w:rStyle w:val="Hipervnculo"/>
            <w:rFonts w:ascii="Arial" w:hAnsi="Arial" w:cs="Arial"/>
            <w:noProof/>
          </w:rPr>
          <w:t>Gráfico 24. Participación de sectores en el PIB Bolívar</w:t>
        </w:r>
        <w:r>
          <w:rPr>
            <w:noProof/>
            <w:webHidden/>
          </w:rPr>
          <w:tab/>
        </w:r>
        <w:r>
          <w:rPr>
            <w:noProof/>
            <w:webHidden/>
          </w:rPr>
          <w:fldChar w:fldCharType="begin"/>
        </w:r>
        <w:r>
          <w:rPr>
            <w:noProof/>
            <w:webHidden/>
          </w:rPr>
          <w:instrText xml:space="preserve"> PAGEREF _Toc389666980 \h </w:instrText>
        </w:r>
        <w:r>
          <w:rPr>
            <w:noProof/>
            <w:webHidden/>
          </w:rPr>
        </w:r>
        <w:r>
          <w:rPr>
            <w:noProof/>
            <w:webHidden/>
          </w:rPr>
          <w:fldChar w:fldCharType="separate"/>
        </w:r>
        <w:r>
          <w:rPr>
            <w:noProof/>
            <w:webHidden/>
          </w:rPr>
          <w:t>46</w:t>
        </w:r>
        <w:r>
          <w:rPr>
            <w:noProof/>
            <w:webHidden/>
          </w:rPr>
          <w:fldChar w:fldCharType="end"/>
        </w:r>
      </w:hyperlink>
    </w:p>
    <w:p w:rsidR="00BC4008" w:rsidRDefault="00A20008">
      <w:pPr>
        <w:tabs>
          <w:tab w:val="left" w:pos="2051"/>
        </w:tabs>
        <w:spacing w:line="276" w:lineRule="auto"/>
        <w:jc w:val="both"/>
        <w:rPr>
          <w:rFonts w:ascii="Arial" w:hAnsi="Arial" w:cs="Arial"/>
        </w:rPr>
      </w:pPr>
      <w:r w:rsidRPr="000E62F2">
        <w:rPr>
          <w:rFonts w:ascii="Arial" w:hAnsi="Arial" w:cs="Arial"/>
        </w:rPr>
        <w:fldChar w:fldCharType="end"/>
      </w: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BC4008" w:rsidRDefault="00BC4008" w:rsidP="00045CA7">
      <w:pPr>
        <w:spacing w:line="276" w:lineRule="auto"/>
        <w:jc w:val="both"/>
        <w:rPr>
          <w:rFonts w:ascii="Arial" w:hAnsi="Arial" w:cs="Arial"/>
        </w:rPr>
      </w:pPr>
    </w:p>
    <w:p w:rsidR="000E7ABC" w:rsidRPr="00F57C80" w:rsidRDefault="000E7ABC" w:rsidP="000E7ABC">
      <w:pPr>
        <w:pStyle w:val="Ttulo1"/>
        <w:spacing w:before="0" w:line="276" w:lineRule="auto"/>
        <w:ind w:left="432"/>
        <w:jc w:val="center"/>
        <w:rPr>
          <w:rFonts w:ascii="Arial" w:eastAsia="Times New Roman" w:hAnsi="Arial" w:cs="Arial"/>
          <w:color w:val="C00000"/>
          <w:sz w:val="24"/>
          <w:szCs w:val="24"/>
        </w:rPr>
      </w:pPr>
      <w:bookmarkStart w:id="1" w:name="_Toc385315676"/>
      <w:bookmarkStart w:id="2" w:name="_Toc383790149"/>
      <w:bookmarkStart w:id="3" w:name="_Toc384367615"/>
      <w:bookmarkStart w:id="4" w:name="_Toc385315682"/>
      <w:bookmarkStart w:id="5" w:name="_Toc389666611"/>
      <w:r w:rsidRPr="00F57C80">
        <w:rPr>
          <w:rFonts w:ascii="Arial" w:eastAsia="Times New Roman" w:hAnsi="Arial" w:cs="Arial"/>
          <w:color w:val="C00000"/>
          <w:sz w:val="24"/>
          <w:szCs w:val="24"/>
        </w:rPr>
        <w:t>Introducción</w:t>
      </w:r>
      <w:bookmarkEnd w:id="1"/>
      <w:bookmarkEnd w:id="5"/>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Pr>
          <w:rFonts w:ascii="Arial" w:hAnsi="Arial" w:cs="Arial"/>
        </w:rPr>
        <w:t>Como resultado del Programa de Asistencia Técnica que se adelanta a nivel nacional, liderado por el Ministerio del Trabajo e implementado por la Fundación Panamericana para el Desarrollo – FUPAD Colombia, se formuló este Plan Departamental de Empleo de Bolívar, correspondiente al período 2013 – 2018 con el objetivo de fortalecer las políticas públicas de empleo, emprendimiento y generación de ingresos de las regiones.</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Pr>
          <w:rFonts w:ascii="Arial" w:hAnsi="Arial" w:cs="Arial"/>
        </w:rPr>
        <w:t>Este documento ha sido desarrollado en el contexto de un acuerdo social y a través de un proceso consensuado, mediante el cual se aspira a definir, orientar y priorizar los objetivos, lineamientos, estrategias, acciones e instrumentos de corto, mediano y largo plazo para fomentar y dinamizar la creación de empleo y la generación de ingresos en el departamento.</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Pr>
          <w:rFonts w:ascii="Arial" w:hAnsi="Arial" w:cs="Arial"/>
        </w:rPr>
        <w:t xml:space="preserve">Para ello, se implementaron espacios de diálogo y concertación con los diferentes actores clave del proceso, tales como funcionarios de la nación (Ministerios, Presidencia, Departamento Nacional de Planeación –DNP, Departamento para la Prosperidad Social -DPS, </w:t>
      </w:r>
      <w:r w:rsidRPr="001259C6">
        <w:rPr>
          <w:rFonts w:ascii="Arial" w:hAnsi="Arial" w:cs="Arial"/>
        </w:rPr>
        <w:t>Agencia Nacional para la Superación de la Pobreza Extrema – ANSPE</w:t>
      </w:r>
      <w:r>
        <w:rPr>
          <w:rFonts w:ascii="Arial" w:hAnsi="Arial" w:cs="Arial"/>
        </w:rPr>
        <w:t>, Servicio Nacional de Aprendizaje –SENA, entre otros), Alcaldes y Delegados de los  municipios de Bolívar y representantes de entidades territoriales, donde se discutieron y analizaron las barreras existentes en la generación de empleos de calidad, así como las oportunidades regionales para la disminución o eliminación de estas dificultades y el aprovechamiento de las posibilidades de emprendimiento productivo existentes.</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Pr>
          <w:rFonts w:ascii="Arial" w:hAnsi="Arial" w:cs="Arial"/>
        </w:rPr>
        <w:t xml:space="preserve">Paralelamente, se llevaron a cabo reuniones y/o mesas de trabajo con actores del sector académico, asociaciones, representantes de gremios, ONG, organizaciones de base y sociedad civil, para fortalecer la investigación dirigida a diagnosticar de manera permanente y robusta, la dinámica productiva y laboral del departamento. </w:t>
      </w:r>
      <w:r w:rsidRPr="00F11649">
        <w:rPr>
          <w:rFonts w:ascii="Arial" w:hAnsi="Arial" w:cs="Arial"/>
        </w:rPr>
        <w:t xml:space="preserve">Adicionalmente, se realizó de manera periódica la revisión y retroalimentación de las versiones </w:t>
      </w:r>
      <w:r w:rsidRPr="000E3BA0">
        <w:rPr>
          <w:rFonts w:ascii="Arial" w:hAnsi="Arial" w:cs="Arial"/>
        </w:rPr>
        <w:t>preliminares del Plan y su contenido, con la Dirección Territorial del Ministerio del Trabajo y la Secretaría de Planeación Departamental, quien preside la Mesa Técnica.</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sidRPr="000E3BA0">
        <w:rPr>
          <w:rFonts w:ascii="Arial" w:hAnsi="Arial" w:cs="Arial"/>
        </w:rPr>
        <w:t xml:space="preserve">Con la implementación de este Plan de Empleo se pretende contribuir a solucionar los principales problemas del mercado laboral de la región, realizar acciones que obedezcan a los lineamientos priorizados por los actores clave de la región y conocer los principales problemas de este mercado, los cuales están asociados a fenómenos como: los desequilibrios regionales y subregionales de oferta y demanda laboral, la capacidad de absorción de la población joven a las dinámicas de la demanda en el mercado laboral, la calidad del empleo, especialmente la informalidad y los ingresos insuficientes; el </w:t>
      </w:r>
      <w:r w:rsidRPr="000E3BA0">
        <w:rPr>
          <w:rFonts w:ascii="Arial" w:hAnsi="Arial" w:cs="Arial"/>
        </w:rPr>
        <w:lastRenderedPageBreak/>
        <w:t xml:space="preserve">requerimiento de estrategias para mejorar el clima de inversión, la generación de nuevos emprendimientos y el fortalecimiento de los ya existentes, entre otros. </w:t>
      </w:r>
    </w:p>
    <w:p w:rsidR="000E7ABC" w:rsidRDefault="000E7ABC" w:rsidP="000E7ABC">
      <w:pPr>
        <w:spacing w:line="276" w:lineRule="auto"/>
        <w:jc w:val="both"/>
        <w:rPr>
          <w:rFonts w:ascii="Arial" w:hAnsi="Arial" w:cs="Arial"/>
        </w:rPr>
      </w:pPr>
    </w:p>
    <w:p w:rsidR="000E7ABC" w:rsidRDefault="000E7ABC" w:rsidP="000E7ABC">
      <w:pPr>
        <w:pStyle w:val="Sinespaciado1"/>
        <w:spacing w:after="0"/>
        <w:jc w:val="both"/>
        <w:rPr>
          <w:rFonts w:ascii="Arial" w:hAnsi="Arial" w:cs="Arial"/>
        </w:rPr>
      </w:pPr>
      <w:r w:rsidRPr="000E3BA0">
        <w:rPr>
          <w:rFonts w:ascii="Arial" w:hAnsi="Arial" w:cs="Arial"/>
        </w:rPr>
        <w:t>La identificación de los retos, oportunidades, capacidades y posibilidades efectivas de las regiones para proponer, promover y ejecutar iniciativas mancomunadas de los diferentes actores sociales y económicos, constituye el principal escollo que se intenta superar con la formulación concertada de los planes de empleo. La identificación de los factores asociados al desempleo y a la vulnerabilidad de grupos sociales específicos en los ámbitos subregionales, así como el impulso decidido del sector empresarial para</w:t>
      </w:r>
      <w:r w:rsidRPr="00655CF3">
        <w:rPr>
          <w:rFonts w:ascii="Arial" w:hAnsi="Arial" w:cs="Arial"/>
        </w:rPr>
        <w:t xml:space="preserve"> la generación de empleo formal de calidad, permite ampliar el espacio de oportunidades de la población activa de las regiones y contribuye al aumento del bienestar general del país.</w:t>
      </w:r>
      <w:r>
        <w:rPr>
          <w:rFonts w:ascii="Arial" w:hAnsi="Arial" w:cs="Arial"/>
        </w:rPr>
        <w:t xml:space="preserve"> </w:t>
      </w:r>
    </w:p>
    <w:p w:rsidR="000E7ABC" w:rsidRPr="00655CF3" w:rsidRDefault="000E7ABC" w:rsidP="000E7ABC">
      <w:pPr>
        <w:pStyle w:val="Sinespaciado1"/>
        <w:spacing w:after="0"/>
        <w:jc w:val="both"/>
        <w:rPr>
          <w:rFonts w:ascii="Arial" w:hAnsi="Arial" w:cs="Arial"/>
        </w:rPr>
      </w:pPr>
    </w:p>
    <w:p w:rsidR="000E7ABC" w:rsidRDefault="000E7ABC" w:rsidP="000E7ABC">
      <w:pPr>
        <w:pStyle w:val="Sinespaciado1"/>
        <w:spacing w:after="0"/>
        <w:jc w:val="both"/>
        <w:rPr>
          <w:rFonts w:ascii="Arial" w:hAnsi="Arial" w:cs="Arial"/>
        </w:rPr>
      </w:pPr>
      <w:r w:rsidRPr="00655CF3">
        <w:rPr>
          <w:rFonts w:ascii="Arial" w:hAnsi="Arial" w:cs="Arial"/>
        </w:rPr>
        <w:t xml:space="preserve">Por tales razones, resulta importante potencializar las capacidades productivas de los departamentos, áreas metropolitanas y ciudades para generar empleo de calidad en los ámbitos formales de la economía. </w:t>
      </w:r>
    </w:p>
    <w:p w:rsidR="000E7ABC" w:rsidRDefault="000E7ABC" w:rsidP="000E7ABC">
      <w:pPr>
        <w:pStyle w:val="Sinespaciado1"/>
        <w:spacing w:after="0"/>
        <w:jc w:val="both"/>
        <w:rPr>
          <w:rFonts w:ascii="Arial" w:hAnsi="Arial" w:cs="Arial"/>
        </w:rPr>
      </w:pPr>
    </w:p>
    <w:p w:rsidR="000E7ABC" w:rsidRDefault="000E7ABC" w:rsidP="000E7ABC">
      <w:pPr>
        <w:autoSpaceDE w:val="0"/>
        <w:autoSpaceDN w:val="0"/>
        <w:adjustRightInd w:val="0"/>
        <w:spacing w:line="276" w:lineRule="auto"/>
        <w:jc w:val="both"/>
        <w:rPr>
          <w:rFonts w:ascii="Arial" w:hAnsi="Arial" w:cs="Arial"/>
        </w:rPr>
      </w:pPr>
      <w:r w:rsidRPr="000E3BA0">
        <w:rPr>
          <w:rFonts w:ascii="Arial" w:hAnsi="Arial" w:cs="Arial"/>
        </w:rPr>
        <w:t xml:space="preserve">En el primer capítulo del documento se describe el proceso metodológico utilizado para la formulación de este Plan de Empleo destacando los principales aspectos generados en torno a la investigación, participación y concertación del mismo. El segundo capítulo presenta un resumen del contexto socioeconómico regional, caracterizando el entorno económico del departamento y resaltando sus principales indicadores sociodemográficos junto con algunas de las problemáticas particulares que aquejan al departamento. </w:t>
      </w:r>
    </w:p>
    <w:p w:rsidR="000E7ABC" w:rsidRDefault="000E7ABC" w:rsidP="000E7ABC">
      <w:pPr>
        <w:autoSpaceDE w:val="0"/>
        <w:autoSpaceDN w:val="0"/>
        <w:adjustRightInd w:val="0"/>
        <w:spacing w:line="276" w:lineRule="auto"/>
        <w:jc w:val="both"/>
        <w:rPr>
          <w:rFonts w:ascii="Arial" w:hAnsi="Arial" w:cs="Arial"/>
        </w:rPr>
      </w:pPr>
    </w:p>
    <w:p w:rsidR="000E7ABC" w:rsidRDefault="000E7ABC" w:rsidP="000E7ABC">
      <w:pPr>
        <w:spacing w:line="276" w:lineRule="auto"/>
        <w:jc w:val="both"/>
        <w:rPr>
          <w:rFonts w:ascii="Arial" w:hAnsi="Arial" w:cs="Arial"/>
        </w:rPr>
      </w:pPr>
      <w:r w:rsidRPr="000E3BA0">
        <w:rPr>
          <w:rFonts w:ascii="Arial" w:hAnsi="Arial" w:cs="Arial"/>
        </w:rPr>
        <w:t xml:space="preserve">El tercer capítulo contiene un diagnóstico de la problemática laboral presente en </w:t>
      </w:r>
      <w:r>
        <w:rPr>
          <w:rFonts w:ascii="Arial" w:hAnsi="Arial" w:cs="Arial"/>
        </w:rPr>
        <w:t xml:space="preserve">el departamento </w:t>
      </w:r>
      <w:r w:rsidRPr="000E3BA0">
        <w:rPr>
          <w:rFonts w:ascii="Arial" w:hAnsi="Arial" w:cs="Arial"/>
        </w:rPr>
        <w:t>bajo el análisis de la dinámica y calidad del empleo, la situación de algunos grupos especiales, el trabajo infantil y la vigilancia a la normatividad laboral. El cuarto capítulo hace referencia a los principales factores identificados como causas de la problemática laboral del departamento. En el capítulo quinto se presentan las acciones en curso que llevan a cabo las diferentes entidades públicas y privadas en el departamento para la generación y fomento del empleo.</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r w:rsidRPr="000E3BA0">
        <w:rPr>
          <w:rFonts w:ascii="Arial" w:hAnsi="Arial" w:cs="Arial"/>
        </w:rPr>
        <w:t>En el capítulo sexto se plantean los objetivos, metas y estrategias del Plan Departamental de Empleo con lo que se espera atacar las principales problemáticas detectadas en el diagnóstico. En el capítulo séptimo se establecen estos ejes estratégicos y los programas y proyectos a formular, identificando los actores, las actividades a realizar y las metas propuestas en cada uno de ellos.</w:t>
      </w:r>
    </w:p>
    <w:p w:rsidR="000E7ABC" w:rsidRDefault="000E7ABC" w:rsidP="000E7ABC">
      <w:pPr>
        <w:spacing w:line="276" w:lineRule="auto"/>
        <w:jc w:val="both"/>
        <w:rPr>
          <w:rFonts w:ascii="Arial" w:hAnsi="Arial" w:cs="Arial"/>
        </w:rPr>
      </w:pPr>
    </w:p>
    <w:p w:rsidR="000E7ABC" w:rsidRPr="000E3BA0" w:rsidRDefault="000E7ABC" w:rsidP="000E7ABC">
      <w:pPr>
        <w:spacing w:line="276" w:lineRule="auto"/>
        <w:jc w:val="both"/>
        <w:rPr>
          <w:rFonts w:ascii="Arial" w:hAnsi="Arial" w:cs="Arial"/>
          <w:color w:val="000000"/>
          <w:lang w:val="es-CO"/>
        </w:rPr>
      </w:pPr>
      <w:r w:rsidRPr="000E3BA0">
        <w:rPr>
          <w:rFonts w:ascii="Arial" w:hAnsi="Arial" w:cs="Arial"/>
        </w:rPr>
        <w:t xml:space="preserve">El capítulo octavo expone las fuentes de financiación del Plan Departamental de Empleo. En el noveno capítulo se presentan las actividades a realizar para garantizar el monitoreo, evaluación y seguimiento del Plan Departamental de Empleo. Finalmente, en el décimo y último capítulo se exponen las principales recomendaciones generadas en el desarrollo de este proceso de asistencia técnica, que se considera son necesarias para lograr una adecuada implementación y seguimiento de los ejes, programas y proyectos estratégicos </w:t>
      </w:r>
      <w:r w:rsidRPr="000E3BA0">
        <w:rPr>
          <w:rFonts w:ascii="Arial" w:hAnsi="Arial" w:cs="Arial"/>
        </w:rPr>
        <w:lastRenderedPageBreak/>
        <w:t>aquí formulados. Al final se incorporan los anexos con alguna información utilizada en la elaboración de este documento.</w:t>
      </w: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p>
    <w:p w:rsidR="000E7ABC" w:rsidRDefault="000E7ABC" w:rsidP="000E7ABC">
      <w:pPr>
        <w:spacing w:line="276" w:lineRule="auto"/>
        <w:jc w:val="both"/>
        <w:rPr>
          <w:rFonts w:ascii="Arial" w:hAnsi="Arial" w:cs="Arial"/>
        </w:rPr>
      </w:pPr>
    </w:p>
    <w:p w:rsidR="000E7ABC" w:rsidRPr="00574A7C" w:rsidRDefault="000E7ABC" w:rsidP="00DC6E74">
      <w:pPr>
        <w:pStyle w:val="Ttulo1"/>
        <w:numPr>
          <w:ilvl w:val="0"/>
          <w:numId w:val="24"/>
        </w:numPr>
        <w:spacing w:line="276" w:lineRule="auto"/>
        <w:jc w:val="both"/>
        <w:rPr>
          <w:rFonts w:ascii="Arial" w:hAnsi="Arial" w:cs="Arial"/>
          <w:color w:val="C00000"/>
          <w:sz w:val="24"/>
          <w:szCs w:val="24"/>
        </w:rPr>
      </w:pPr>
      <w:bookmarkStart w:id="6" w:name="_Toc384367610"/>
      <w:bookmarkStart w:id="7" w:name="_Toc385315677"/>
      <w:bookmarkStart w:id="8" w:name="_Toc389666612"/>
      <w:r w:rsidRPr="00574A7C">
        <w:rPr>
          <w:rFonts w:ascii="Arial" w:eastAsia="Times New Roman" w:hAnsi="Arial" w:cs="Arial"/>
          <w:color w:val="C00000"/>
          <w:sz w:val="24"/>
          <w:szCs w:val="24"/>
        </w:rPr>
        <w:t xml:space="preserve">Metodología para la formulación del Plan Departamental de Empleo </w:t>
      </w:r>
      <w:bookmarkEnd w:id="6"/>
      <w:bookmarkEnd w:id="7"/>
      <w:r w:rsidRPr="00574A7C">
        <w:rPr>
          <w:rFonts w:ascii="Arial" w:eastAsia="Times New Roman" w:hAnsi="Arial" w:cs="Arial"/>
          <w:color w:val="C00000"/>
          <w:sz w:val="24"/>
          <w:szCs w:val="24"/>
        </w:rPr>
        <w:t>de Bolívar</w:t>
      </w:r>
      <w:bookmarkEnd w:id="8"/>
    </w:p>
    <w:p w:rsidR="00F57C80" w:rsidRPr="00574A7C" w:rsidRDefault="00F57C80" w:rsidP="00574A7C">
      <w:pPr>
        <w:spacing w:line="276" w:lineRule="auto"/>
        <w:jc w:val="both"/>
        <w:rPr>
          <w:rFonts w:ascii="Arial" w:hAnsi="Arial" w:cs="Arial"/>
        </w:rPr>
      </w:pPr>
      <w:bookmarkStart w:id="9" w:name="_Toc385315678"/>
    </w:p>
    <w:p w:rsidR="000E7ABC" w:rsidRPr="00574A7C" w:rsidRDefault="000E7ABC" w:rsidP="00574A7C">
      <w:pPr>
        <w:spacing w:line="276" w:lineRule="auto"/>
        <w:jc w:val="both"/>
        <w:rPr>
          <w:rFonts w:ascii="Arial" w:hAnsi="Arial" w:cs="Arial"/>
        </w:rPr>
      </w:pPr>
      <w:r w:rsidRPr="00574A7C">
        <w:rPr>
          <w:rFonts w:ascii="Arial" w:hAnsi="Arial" w:cs="Arial"/>
        </w:rPr>
        <w:t>La formulación del Plan Departamental de Empleo de Bolívar fue un proceso desarrollado en varias etapas. Éstas establecieron una ruta lógica para la correcta validación, concertación y aprobación del PDE en todo el territorio departamental. En este capítulo se identifican  las etapas y se presentan las diferentes acciones llevadas a cabo para la formulación y consolidación del PDE para el departamento.</w:t>
      </w:r>
    </w:p>
    <w:p w:rsidR="000E7ABC" w:rsidRPr="00574A7C" w:rsidRDefault="000E7ABC" w:rsidP="00574A7C">
      <w:pPr>
        <w:pStyle w:val="Prrafodelista"/>
        <w:spacing w:line="276" w:lineRule="auto"/>
        <w:ind w:left="432"/>
        <w:jc w:val="both"/>
        <w:rPr>
          <w:rFonts w:ascii="Arial" w:hAnsi="Arial" w:cs="Arial"/>
        </w:rPr>
      </w:pPr>
    </w:p>
    <w:p w:rsidR="000E7ABC" w:rsidRPr="00574A7C" w:rsidRDefault="000E7ABC" w:rsidP="00DC6E74">
      <w:pPr>
        <w:pStyle w:val="Ttulo2"/>
        <w:numPr>
          <w:ilvl w:val="1"/>
          <w:numId w:val="2"/>
        </w:numPr>
        <w:spacing w:before="0" w:line="276" w:lineRule="auto"/>
        <w:rPr>
          <w:rFonts w:ascii="Arial" w:eastAsia="Times New Roman" w:hAnsi="Arial" w:cs="Arial"/>
          <w:color w:val="C00000"/>
          <w:sz w:val="22"/>
          <w:szCs w:val="22"/>
        </w:rPr>
      </w:pPr>
      <w:bookmarkStart w:id="10" w:name="_Toc389666613"/>
      <w:r w:rsidRPr="00574A7C">
        <w:rPr>
          <w:rFonts w:ascii="Arial" w:eastAsia="Times New Roman" w:hAnsi="Arial" w:cs="Arial"/>
          <w:color w:val="C00000"/>
          <w:sz w:val="22"/>
          <w:szCs w:val="22"/>
        </w:rPr>
        <w:t>Socialización del Programa de Asistencia Técnica – PAT</w:t>
      </w:r>
      <w:bookmarkEnd w:id="9"/>
      <w:bookmarkEnd w:id="10"/>
    </w:p>
    <w:p w:rsidR="000E7ABC" w:rsidRPr="00574A7C" w:rsidRDefault="000E7ABC" w:rsidP="00574A7C">
      <w:pPr>
        <w:spacing w:line="276" w:lineRule="auto"/>
        <w:rPr>
          <w:rFonts w:ascii="Arial" w:hAnsi="Arial" w:cs="Arial"/>
        </w:rPr>
      </w:pPr>
    </w:p>
    <w:p w:rsidR="000E7ABC" w:rsidRPr="00574A7C" w:rsidRDefault="000E7ABC" w:rsidP="00574A7C">
      <w:pPr>
        <w:spacing w:line="276" w:lineRule="auto"/>
        <w:jc w:val="both"/>
        <w:rPr>
          <w:rFonts w:ascii="Arial" w:hAnsi="Arial" w:cs="Arial"/>
        </w:rPr>
      </w:pPr>
      <w:r w:rsidRPr="00574A7C">
        <w:rPr>
          <w:rFonts w:ascii="Arial" w:hAnsi="Arial" w:cs="Arial"/>
        </w:rPr>
        <w:t xml:space="preserve">Durante la primera etapa, se realizó un proceso de sensibilización y socialización en el departamento dando a conocer entre los diferentes actores locales los propósitos del programa y su articulación al proceso en cada uno de los territorios. Se realizó a través de una reunión convocada por el Ministerio del Trabajo y la Gobernación de Bolívar. En la jornada se presentaron los principales objetivos, fases, alcances y productos esperados con esta intervención técnica. </w:t>
      </w:r>
    </w:p>
    <w:p w:rsidR="000E7ABC" w:rsidRPr="00574A7C" w:rsidRDefault="000E7ABC" w:rsidP="00574A7C">
      <w:pPr>
        <w:spacing w:line="276" w:lineRule="auto"/>
        <w:rPr>
          <w:rFonts w:ascii="Arial" w:hAnsi="Arial" w:cs="Arial"/>
        </w:rPr>
      </w:pPr>
    </w:p>
    <w:p w:rsidR="000E7ABC" w:rsidRPr="00661885" w:rsidRDefault="000E7ABC" w:rsidP="00661885">
      <w:pPr>
        <w:pStyle w:val="Epgrafe"/>
        <w:jc w:val="center"/>
        <w:rPr>
          <w:rFonts w:ascii="Arial" w:hAnsi="Arial" w:cs="Arial"/>
          <w:color w:val="auto"/>
          <w:sz w:val="22"/>
          <w:szCs w:val="22"/>
        </w:rPr>
      </w:pPr>
      <w:bookmarkStart w:id="11" w:name="_Toc385604689"/>
      <w:bookmarkStart w:id="12" w:name="_Toc389666957"/>
      <w:r w:rsidRPr="00661885">
        <w:rPr>
          <w:rFonts w:ascii="Arial" w:hAnsi="Arial" w:cs="Arial"/>
          <w:color w:val="auto"/>
          <w:sz w:val="22"/>
          <w:szCs w:val="22"/>
        </w:rPr>
        <w:t xml:space="preserve">Gráfico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Gráfico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w:t>
      </w:r>
      <w:r w:rsidRPr="00661885">
        <w:rPr>
          <w:rFonts w:ascii="Arial" w:hAnsi="Arial" w:cs="Arial"/>
          <w:color w:val="auto"/>
          <w:sz w:val="22"/>
          <w:szCs w:val="22"/>
        </w:rPr>
        <w:fldChar w:fldCharType="end"/>
      </w:r>
      <w:r w:rsidRPr="00661885">
        <w:rPr>
          <w:rFonts w:ascii="Arial" w:hAnsi="Arial" w:cs="Arial"/>
          <w:color w:val="auto"/>
          <w:sz w:val="22"/>
          <w:szCs w:val="22"/>
        </w:rPr>
        <w:t>. Metodología Formulación (PDE)</w:t>
      </w:r>
      <w:bookmarkEnd w:id="11"/>
      <w:bookmarkEnd w:id="12"/>
    </w:p>
    <w:p w:rsidR="000E7ABC" w:rsidRPr="00574A7C" w:rsidRDefault="000E7ABC" w:rsidP="00574A7C">
      <w:pPr>
        <w:spacing w:line="276" w:lineRule="auto"/>
        <w:rPr>
          <w:rFonts w:ascii="Arial" w:hAnsi="Arial" w:cs="Arial"/>
        </w:rPr>
      </w:pPr>
    </w:p>
    <w:p w:rsidR="000E7ABC" w:rsidRPr="00574A7C" w:rsidRDefault="000E7ABC" w:rsidP="00574A7C">
      <w:pPr>
        <w:tabs>
          <w:tab w:val="num" w:pos="720"/>
        </w:tabs>
        <w:spacing w:line="276" w:lineRule="auto"/>
        <w:jc w:val="center"/>
        <w:rPr>
          <w:rFonts w:ascii="Arial" w:hAnsi="Arial" w:cs="Arial"/>
          <w:sz w:val="18"/>
          <w:szCs w:val="18"/>
        </w:rPr>
      </w:pPr>
      <w:r w:rsidRPr="00574A7C">
        <w:rPr>
          <w:rFonts w:ascii="Arial" w:hAnsi="Arial" w:cs="Arial"/>
          <w:noProof/>
          <w:lang w:eastAsia="es-ES"/>
        </w:rPr>
        <w:lastRenderedPageBreak/>
        <w:drawing>
          <wp:inline distT="0" distB="0" distL="0" distR="0" wp14:anchorId="28C8F844" wp14:editId="40E91D4C">
            <wp:extent cx="4218317" cy="3300402"/>
            <wp:effectExtent l="0" t="0" r="0" b="0"/>
            <wp:docPr id="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 cstate="print">
                      <a:extLst>
                        <a:ext uri="{28A0092B-C50C-407E-A947-70E740481C1C}">
                          <a14:useLocalDpi xmlns:a14="http://schemas.microsoft.com/office/drawing/2010/main" val="0"/>
                        </a:ext>
                      </a:extLst>
                    </a:blip>
                    <a:srcRect l="11876" t="13332" r="11041" b="6111"/>
                    <a:stretch>
                      <a:fillRect/>
                    </a:stretch>
                  </pic:blipFill>
                  <pic:spPr bwMode="auto">
                    <a:xfrm>
                      <a:off x="0" y="0"/>
                      <a:ext cx="4228757" cy="3308570"/>
                    </a:xfrm>
                    <a:prstGeom prst="rect">
                      <a:avLst/>
                    </a:prstGeom>
                    <a:noFill/>
                    <a:ln>
                      <a:noFill/>
                    </a:ln>
                  </pic:spPr>
                </pic:pic>
              </a:graphicData>
            </a:graphic>
          </wp:inline>
        </w:drawing>
      </w:r>
      <w:r w:rsidRPr="00574A7C">
        <w:rPr>
          <w:rFonts w:ascii="Arial" w:hAnsi="Arial" w:cs="Arial"/>
          <w:sz w:val="18"/>
          <w:szCs w:val="18"/>
        </w:rPr>
        <w:t xml:space="preserve"> </w:t>
      </w:r>
    </w:p>
    <w:p w:rsidR="000E7ABC" w:rsidRPr="00574A7C" w:rsidRDefault="000E7ABC" w:rsidP="00574A7C">
      <w:pPr>
        <w:tabs>
          <w:tab w:val="num" w:pos="720"/>
        </w:tabs>
        <w:spacing w:line="276" w:lineRule="auto"/>
        <w:jc w:val="center"/>
        <w:rPr>
          <w:rFonts w:ascii="Arial" w:hAnsi="Arial" w:cs="Arial"/>
          <w:sz w:val="18"/>
          <w:szCs w:val="18"/>
        </w:rPr>
      </w:pPr>
      <w:r w:rsidRPr="00574A7C">
        <w:rPr>
          <w:rFonts w:ascii="Arial" w:hAnsi="Arial" w:cs="Arial"/>
          <w:sz w:val="18"/>
          <w:szCs w:val="18"/>
        </w:rPr>
        <w:t>Fuente: FUPAD</w:t>
      </w:r>
    </w:p>
    <w:p w:rsidR="000E7ABC" w:rsidRPr="00574A7C" w:rsidRDefault="000E7ABC" w:rsidP="00574A7C">
      <w:pPr>
        <w:spacing w:after="200" w:line="276" w:lineRule="auto"/>
        <w:jc w:val="center"/>
        <w:rPr>
          <w:rFonts w:ascii="Arial" w:hAnsi="Arial" w:cs="Arial"/>
        </w:rPr>
      </w:pPr>
    </w:p>
    <w:p w:rsidR="00F72D07" w:rsidRPr="00574A7C" w:rsidRDefault="00F72D07" w:rsidP="00F72D07">
      <w:pPr>
        <w:spacing w:line="276" w:lineRule="auto"/>
        <w:jc w:val="both"/>
        <w:rPr>
          <w:rFonts w:ascii="Arial" w:hAnsi="Arial" w:cs="Arial"/>
        </w:rPr>
      </w:pPr>
      <w:r w:rsidRPr="00574A7C">
        <w:rPr>
          <w:rFonts w:ascii="Arial" w:hAnsi="Arial" w:cs="Arial"/>
        </w:rPr>
        <w:t>En esta reunión, los participantes sugirieron adelantar mesas de trabajo en cada uno de los municipios priorizados para facilitar el acompañamiento y lograr los objetivos propuestos. Las mesas se programaron y desarrollaron con la participación de actores clave en cada uno de los municipios mencionados.</w:t>
      </w:r>
    </w:p>
    <w:p w:rsidR="000E7ABC" w:rsidRPr="00574A7C" w:rsidRDefault="000E7ABC" w:rsidP="00574A7C">
      <w:pPr>
        <w:tabs>
          <w:tab w:val="num" w:pos="720"/>
        </w:tabs>
        <w:spacing w:after="200" w:line="276" w:lineRule="auto"/>
        <w:rPr>
          <w:rFonts w:ascii="Arial" w:hAnsi="Arial" w:cs="Arial"/>
          <w:b/>
        </w:rPr>
      </w:pPr>
    </w:p>
    <w:p w:rsidR="000E7ABC" w:rsidRPr="00574A7C" w:rsidRDefault="000E7ABC" w:rsidP="00DC6E74">
      <w:pPr>
        <w:pStyle w:val="Ttulo2"/>
        <w:numPr>
          <w:ilvl w:val="1"/>
          <w:numId w:val="2"/>
        </w:numPr>
        <w:spacing w:before="0" w:line="276" w:lineRule="auto"/>
        <w:rPr>
          <w:rFonts w:ascii="Arial" w:eastAsia="Times New Roman" w:hAnsi="Arial" w:cs="Arial"/>
          <w:color w:val="C00000"/>
          <w:sz w:val="22"/>
          <w:szCs w:val="22"/>
        </w:rPr>
      </w:pPr>
      <w:bookmarkStart w:id="13" w:name="_Toc383790146"/>
      <w:bookmarkStart w:id="14" w:name="_Toc384367612"/>
      <w:bookmarkStart w:id="15" w:name="_Toc385315679"/>
      <w:bookmarkStart w:id="16" w:name="_Toc389666614"/>
      <w:r w:rsidRPr="00574A7C">
        <w:rPr>
          <w:rFonts w:ascii="Arial" w:eastAsia="Times New Roman" w:hAnsi="Arial" w:cs="Arial"/>
          <w:color w:val="C00000"/>
          <w:sz w:val="22"/>
          <w:szCs w:val="22"/>
        </w:rPr>
        <w:t>Reconocimiento territorial</w:t>
      </w:r>
      <w:bookmarkEnd w:id="13"/>
      <w:r w:rsidRPr="00574A7C">
        <w:rPr>
          <w:rFonts w:ascii="Arial" w:eastAsia="Times New Roman" w:hAnsi="Arial" w:cs="Arial"/>
          <w:color w:val="C00000"/>
          <w:sz w:val="22"/>
          <w:szCs w:val="22"/>
        </w:rPr>
        <w:t xml:space="preserve"> y mapeo de actores estratégicos</w:t>
      </w:r>
      <w:bookmarkEnd w:id="14"/>
      <w:bookmarkEnd w:id="15"/>
      <w:bookmarkEnd w:id="16"/>
    </w:p>
    <w:p w:rsidR="000E7ABC" w:rsidRPr="00574A7C" w:rsidRDefault="000E7ABC" w:rsidP="00574A7C">
      <w:pPr>
        <w:spacing w:line="276" w:lineRule="auto"/>
        <w:rPr>
          <w:rFonts w:ascii="Arial" w:hAnsi="Arial" w:cs="Arial"/>
        </w:rPr>
      </w:pPr>
    </w:p>
    <w:p w:rsidR="000E7ABC" w:rsidRPr="00574A7C" w:rsidRDefault="000E7ABC" w:rsidP="00574A7C">
      <w:pPr>
        <w:spacing w:line="276" w:lineRule="auto"/>
        <w:jc w:val="both"/>
        <w:rPr>
          <w:rFonts w:ascii="Arial" w:hAnsi="Arial" w:cs="Arial"/>
        </w:rPr>
      </w:pPr>
      <w:r w:rsidRPr="00574A7C">
        <w:rPr>
          <w:rFonts w:ascii="Arial" w:hAnsi="Arial" w:cs="Arial"/>
        </w:rPr>
        <w:t>El equipo de FUPAD dispuesto para este programa se desplazó a los diferentes municipios seleccionados en el PAT para elaborar un mapa de los principales aliados estratégicos en cada territorio, así como para identificar las iniciativas disponibles en el territorio y que estuvieran enfocadas al tema de la empleabilidad desde diferentes aspectos.</w:t>
      </w:r>
    </w:p>
    <w:p w:rsidR="000E7ABC" w:rsidRPr="00574A7C" w:rsidRDefault="000E7ABC" w:rsidP="00574A7C">
      <w:pPr>
        <w:spacing w:line="276" w:lineRule="auto"/>
        <w:jc w:val="both"/>
        <w:rPr>
          <w:rFonts w:ascii="Arial" w:hAnsi="Arial" w:cs="Arial"/>
        </w:rPr>
      </w:pPr>
    </w:p>
    <w:p w:rsidR="000E7ABC" w:rsidRPr="00574A7C" w:rsidRDefault="000E7ABC" w:rsidP="00574A7C">
      <w:pPr>
        <w:spacing w:after="200" w:line="276" w:lineRule="auto"/>
        <w:jc w:val="both"/>
        <w:rPr>
          <w:rFonts w:ascii="Arial" w:hAnsi="Arial" w:cs="Arial"/>
        </w:rPr>
      </w:pPr>
      <w:r w:rsidRPr="00574A7C">
        <w:rPr>
          <w:rFonts w:ascii="Arial" w:hAnsi="Arial" w:cs="Arial"/>
        </w:rPr>
        <w:t>Los principales actores clave identificados en esta fase y con los cuales se conformaron posteriormente las mesas de trabajo son entre otros, los siguientes:</w:t>
      </w:r>
    </w:p>
    <w:p w:rsidR="000E7ABC" w:rsidRPr="00574A7C" w:rsidRDefault="000E7ABC" w:rsidP="00574A7C">
      <w:pPr>
        <w:spacing w:after="200" w:line="276" w:lineRule="auto"/>
        <w:jc w:val="both"/>
        <w:rPr>
          <w:rFonts w:ascii="Arial" w:hAnsi="Arial" w:cs="Arial"/>
        </w:rPr>
      </w:pPr>
      <w:r w:rsidRPr="00574A7C">
        <w:rPr>
          <w:rFonts w:ascii="Arial" w:hAnsi="Arial" w:cs="Arial"/>
          <w:b/>
          <w:bCs/>
        </w:rPr>
        <w:t>Sector público:</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t>Gobernación de Bolívar</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t>Alcaldía de Cartagena</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t>Ministerio del Trabajo</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eastAsia="Times New Roman" w:hAnsi="Arial" w:cs="Arial"/>
          <w:color w:val="000000"/>
          <w:lang w:eastAsia="es-ES"/>
        </w:rPr>
        <w:t>Servicio Nacional para el Aprendizaje</w:t>
      </w:r>
      <w:r w:rsidRPr="00574A7C">
        <w:rPr>
          <w:rFonts w:ascii="Arial" w:hAnsi="Arial" w:cs="Arial"/>
        </w:rPr>
        <w:t xml:space="preserve"> - SENA</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t>Agencia Nacional para la Superación de la Pobreza Extrema – ANSPE</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lastRenderedPageBreak/>
        <w:t>Departamento para la Prosperidad Social- DPS</w:t>
      </w:r>
    </w:p>
    <w:p w:rsidR="000E7ABC" w:rsidRPr="00574A7C" w:rsidRDefault="000E7ABC" w:rsidP="00DC6E74">
      <w:pPr>
        <w:pStyle w:val="Prrafodelista"/>
        <w:numPr>
          <w:ilvl w:val="0"/>
          <w:numId w:val="21"/>
        </w:numPr>
        <w:spacing w:after="200" w:line="276" w:lineRule="auto"/>
        <w:jc w:val="both"/>
        <w:rPr>
          <w:rFonts w:ascii="Arial" w:hAnsi="Arial" w:cs="Arial"/>
        </w:rPr>
      </w:pPr>
      <w:r w:rsidRPr="00574A7C">
        <w:rPr>
          <w:rFonts w:ascii="Arial" w:hAnsi="Arial" w:cs="Arial"/>
        </w:rPr>
        <w:t>Unidad de Atención y Reparación Integral a las Víctimas - UARIV</w:t>
      </w:r>
    </w:p>
    <w:p w:rsidR="000E7ABC" w:rsidRPr="00574A7C" w:rsidRDefault="000E7ABC" w:rsidP="00574A7C">
      <w:pPr>
        <w:spacing w:after="200" w:line="276" w:lineRule="auto"/>
        <w:jc w:val="both"/>
        <w:rPr>
          <w:rFonts w:ascii="Arial" w:hAnsi="Arial" w:cs="Arial"/>
          <w:b/>
          <w:bCs/>
        </w:rPr>
      </w:pPr>
      <w:r w:rsidRPr="00574A7C">
        <w:rPr>
          <w:rFonts w:ascii="Arial" w:hAnsi="Arial" w:cs="Arial"/>
          <w:b/>
          <w:bCs/>
        </w:rPr>
        <w:t>Sector privado:</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Style w:val="apple-converted-space"/>
          <w:rFonts w:ascii="Arial" w:hAnsi="Arial" w:cs="Arial"/>
          <w:shd w:val="clear" w:color="auto" w:fill="FFFFFF"/>
        </w:rPr>
        <w:t> </w:t>
      </w:r>
      <w:r w:rsidRPr="00574A7C">
        <w:rPr>
          <w:rFonts w:ascii="Arial" w:hAnsi="Arial" w:cs="Arial"/>
          <w:shd w:val="clear" w:color="auto" w:fill="FFFFFF"/>
        </w:rPr>
        <w:t>Federación Nacional de Distribuidores de Derivados del Petróleo del Caribe-</w:t>
      </w:r>
      <w:r w:rsidRPr="00574A7C">
        <w:rPr>
          <w:rFonts w:ascii="Arial" w:hAnsi="Arial" w:cs="Arial"/>
        </w:rPr>
        <w:t>FENDIPETROLEO</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Style w:val="nfasis"/>
          <w:rFonts w:ascii="Arial" w:hAnsi="Arial" w:cs="Arial"/>
          <w:bCs/>
          <w:i w:val="0"/>
          <w:iCs w:val="0"/>
          <w:shd w:val="clear" w:color="auto" w:fill="FFFFFF"/>
        </w:rPr>
        <w:t>Caja de Compensación Familiar</w:t>
      </w:r>
      <w:r w:rsidRPr="00574A7C">
        <w:rPr>
          <w:rStyle w:val="apple-converted-space"/>
          <w:rFonts w:ascii="Arial" w:hAnsi="Arial" w:cs="Arial"/>
          <w:shd w:val="clear" w:color="auto" w:fill="FFFFFF"/>
        </w:rPr>
        <w:t> </w:t>
      </w:r>
      <w:r w:rsidRPr="00574A7C">
        <w:rPr>
          <w:rFonts w:ascii="Arial" w:hAnsi="Arial" w:cs="Arial"/>
          <w:shd w:val="clear" w:color="auto" w:fill="FFFFFF"/>
        </w:rPr>
        <w:t>de Cartagena y</w:t>
      </w:r>
      <w:r w:rsidRPr="00574A7C">
        <w:rPr>
          <w:rStyle w:val="apple-converted-space"/>
          <w:rFonts w:ascii="Arial" w:hAnsi="Arial" w:cs="Arial"/>
          <w:shd w:val="clear" w:color="auto" w:fill="FFFFFF"/>
        </w:rPr>
        <w:t> </w:t>
      </w:r>
      <w:r w:rsidRPr="00574A7C">
        <w:rPr>
          <w:rStyle w:val="nfasis"/>
          <w:rFonts w:ascii="Arial" w:hAnsi="Arial" w:cs="Arial"/>
          <w:bCs/>
          <w:i w:val="0"/>
          <w:iCs w:val="0"/>
          <w:shd w:val="clear" w:color="auto" w:fill="FFFFFF"/>
        </w:rPr>
        <w:t>Bolívar</w:t>
      </w:r>
      <w:r w:rsidRPr="00574A7C">
        <w:rPr>
          <w:rStyle w:val="apple-converted-space"/>
          <w:rFonts w:ascii="Arial" w:hAnsi="Arial" w:cs="Arial"/>
          <w:shd w:val="clear" w:color="auto" w:fill="FFFFFF"/>
        </w:rPr>
        <w:t> </w:t>
      </w:r>
      <w:r w:rsidRPr="00574A7C">
        <w:rPr>
          <w:rFonts w:ascii="Arial" w:hAnsi="Arial" w:cs="Arial"/>
          <w:shd w:val="clear" w:color="auto" w:fill="FFFFFF"/>
        </w:rPr>
        <w:t>COMFAMILIAR</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Fonts w:ascii="Arial" w:hAnsi="Arial" w:cs="Arial"/>
        </w:rPr>
        <w:t>Cámara de Comercio de Cartagena</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Fonts w:ascii="Arial" w:hAnsi="Arial" w:cs="Arial"/>
          <w:shd w:val="clear" w:color="auto" w:fill="FFFFFF"/>
        </w:rPr>
        <w:t xml:space="preserve">Cámara Colombiana de la Construcción- </w:t>
      </w:r>
      <w:r w:rsidRPr="00574A7C">
        <w:rPr>
          <w:rFonts w:ascii="Arial" w:hAnsi="Arial" w:cs="Arial"/>
        </w:rPr>
        <w:t>CAMACOL</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Fonts w:ascii="Arial" w:hAnsi="Arial" w:cs="Arial"/>
        </w:rPr>
        <w:t>Asociación Nacional de Industriales - ANDI</w:t>
      </w:r>
    </w:p>
    <w:p w:rsidR="000E7ABC" w:rsidRPr="00574A7C" w:rsidRDefault="000E7ABC" w:rsidP="00DC6E74">
      <w:pPr>
        <w:pStyle w:val="Prrafodelista"/>
        <w:numPr>
          <w:ilvl w:val="0"/>
          <w:numId w:val="22"/>
        </w:numPr>
        <w:spacing w:after="200" w:line="276" w:lineRule="auto"/>
        <w:jc w:val="both"/>
        <w:rPr>
          <w:rFonts w:ascii="Arial" w:hAnsi="Arial" w:cs="Arial"/>
        </w:rPr>
      </w:pPr>
      <w:r w:rsidRPr="00574A7C">
        <w:rPr>
          <w:rFonts w:ascii="Arial" w:hAnsi="Arial" w:cs="Arial"/>
        </w:rPr>
        <w:t>Federación Nacional de Comerciantes- FENALCO</w:t>
      </w:r>
    </w:p>
    <w:p w:rsidR="000E7ABC" w:rsidRPr="00574A7C" w:rsidRDefault="000E7ABC" w:rsidP="00574A7C">
      <w:pPr>
        <w:spacing w:after="200" w:line="276" w:lineRule="auto"/>
        <w:jc w:val="both"/>
        <w:rPr>
          <w:rFonts w:ascii="Arial" w:hAnsi="Arial" w:cs="Arial"/>
        </w:rPr>
      </w:pPr>
      <w:r w:rsidRPr="00574A7C">
        <w:rPr>
          <w:rFonts w:ascii="Arial" w:hAnsi="Arial" w:cs="Arial"/>
          <w:b/>
          <w:bCs/>
        </w:rPr>
        <w:t>Academia:</w:t>
      </w:r>
      <w:r w:rsidRPr="00574A7C">
        <w:rPr>
          <w:rFonts w:ascii="Arial" w:hAnsi="Arial" w:cs="Arial"/>
        </w:rPr>
        <w:t xml:space="preserve"> </w:t>
      </w:r>
    </w:p>
    <w:p w:rsidR="000E7ABC" w:rsidRPr="00574A7C" w:rsidRDefault="000E7ABC" w:rsidP="00DC6E74">
      <w:pPr>
        <w:pStyle w:val="Prrafodelista"/>
        <w:numPr>
          <w:ilvl w:val="0"/>
          <w:numId w:val="23"/>
        </w:numPr>
        <w:spacing w:after="200" w:line="276" w:lineRule="auto"/>
        <w:jc w:val="both"/>
        <w:rPr>
          <w:rFonts w:ascii="Arial" w:hAnsi="Arial" w:cs="Arial"/>
        </w:rPr>
      </w:pPr>
      <w:r w:rsidRPr="00574A7C">
        <w:rPr>
          <w:rFonts w:ascii="Arial" w:hAnsi="Arial" w:cs="Arial"/>
        </w:rPr>
        <w:t>Universidad de Cartagena</w:t>
      </w:r>
    </w:p>
    <w:p w:rsidR="000E7ABC" w:rsidRPr="00574A7C" w:rsidRDefault="000E7ABC" w:rsidP="00DC6E74">
      <w:pPr>
        <w:pStyle w:val="Prrafodelista"/>
        <w:numPr>
          <w:ilvl w:val="0"/>
          <w:numId w:val="23"/>
        </w:numPr>
        <w:spacing w:after="200" w:line="276" w:lineRule="auto"/>
        <w:jc w:val="both"/>
        <w:rPr>
          <w:rFonts w:ascii="Arial" w:hAnsi="Arial" w:cs="Arial"/>
        </w:rPr>
      </w:pPr>
      <w:r w:rsidRPr="00574A7C">
        <w:rPr>
          <w:rFonts w:ascii="Arial" w:hAnsi="Arial" w:cs="Arial"/>
        </w:rPr>
        <w:t>Universidad Tecnológica de Bolívar</w:t>
      </w:r>
    </w:p>
    <w:p w:rsidR="000E7ABC" w:rsidRPr="00574A7C" w:rsidRDefault="000E7ABC" w:rsidP="00574A7C">
      <w:pPr>
        <w:spacing w:line="276" w:lineRule="auto"/>
        <w:rPr>
          <w:rFonts w:ascii="Arial" w:hAnsi="Arial" w:cs="Arial"/>
        </w:rPr>
      </w:pPr>
    </w:p>
    <w:p w:rsidR="000E7ABC" w:rsidRDefault="000E7ABC" w:rsidP="00574A7C">
      <w:pPr>
        <w:spacing w:line="276" w:lineRule="auto"/>
        <w:rPr>
          <w:rFonts w:ascii="Arial" w:hAnsi="Arial" w:cs="Arial"/>
        </w:rPr>
      </w:pPr>
    </w:p>
    <w:p w:rsidR="00311396" w:rsidRPr="00574A7C" w:rsidRDefault="00311396" w:rsidP="00574A7C">
      <w:pPr>
        <w:spacing w:line="276" w:lineRule="auto"/>
        <w:rPr>
          <w:rFonts w:ascii="Arial" w:hAnsi="Arial" w:cs="Arial"/>
        </w:rPr>
      </w:pPr>
    </w:p>
    <w:p w:rsidR="000E7ABC" w:rsidRPr="00574A7C" w:rsidRDefault="000E7ABC" w:rsidP="00DC6E74">
      <w:pPr>
        <w:pStyle w:val="Ttulo2"/>
        <w:numPr>
          <w:ilvl w:val="1"/>
          <w:numId w:val="2"/>
        </w:numPr>
        <w:spacing w:before="0" w:line="276" w:lineRule="auto"/>
        <w:rPr>
          <w:rFonts w:ascii="Arial" w:eastAsia="Times New Roman" w:hAnsi="Arial" w:cs="Arial"/>
          <w:color w:val="C00000"/>
          <w:sz w:val="22"/>
          <w:szCs w:val="22"/>
        </w:rPr>
      </w:pPr>
      <w:bookmarkStart w:id="17" w:name="_Toc383790147"/>
      <w:bookmarkStart w:id="18" w:name="_Toc384367613"/>
      <w:bookmarkStart w:id="19" w:name="_Toc385315680"/>
      <w:bookmarkStart w:id="20" w:name="_Toc389666615"/>
      <w:r w:rsidRPr="00574A7C">
        <w:rPr>
          <w:rFonts w:ascii="Arial" w:eastAsia="Times New Roman" w:hAnsi="Arial" w:cs="Arial"/>
          <w:color w:val="C00000"/>
          <w:sz w:val="22"/>
          <w:szCs w:val="22"/>
        </w:rPr>
        <w:t>Caracterización socioeconómica departamental</w:t>
      </w:r>
      <w:bookmarkEnd w:id="17"/>
      <w:bookmarkEnd w:id="18"/>
      <w:bookmarkEnd w:id="19"/>
      <w:bookmarkEnd w:id="20"/>
    </w:p>
    <w:p w:rsidR="000E7ABC" w:rsidRPr="00574A7C" w:rsidRDefault="000E7ABC" w:rsidP="00574A7C">
      <w:pPr>
        <w:spacing w:line="276" w:lineRule="auto"/>
        <w:rPr>
          <w:rFonts w:ascii="Arial" w:hAnsi="Arial" w:cs="Arial"/>
        </w:rPr>
      </w:pPr>
    </w:p>
    <w:p w:rsidR="000E7ABC" w:rsidRPr="00574A7C" w:rsidRDefault="000E7ABC" w:rsidP="00574A7C">
      <w:pPr>
        <w:spacing w:after="200" w:line="276" w:lineRule="auto"/>
        <w:jc w:val="both"/>
        <w:rPr>
          <w:rFonts w:ascii="Arial" w:hAnsi="Arial" w:cs="Arial"/>
        </w:rPr>
      </w:pPr>
      <w:r w:rsidRPr="00574A7C">
        <w:rPr>
          <w:rFonts w:ascii="Arial" w:hAnsi="Arial" w:cs="Arial"/>
        </w:rPr>
        <w:t xml:space="preserve">Como base para la estructuración y formulación del Plan Departamental de Empleo </w:t>
      </w:r>
      <w:r w:rsidRPr="00574A7C">
        <w:rPr>
          <w:rFonts w:ascii="Arial" w:eastAsia="Times New Roman" w:hAnsi="Arial" w:cs="Arial"/>
          <w:bCs/>
          <w:color w:val="222222"/>
          <w:lang w:eastAsia="es-CO"/>
        </w:rPr>
        <w:t>de Bolívar</w:t>
      </w:r>
      <w:r w:rsidRPr="00574A7C">
        <w:rPr>
          <w:rFonts w:ascii="Arial" w:hAnsi="Arial" w:cs="Arial"/>
        </w:rPr>
        <w:t xml:space="preserve"> se consolidó un documento de caracterización regional que resume los principales aspectos demográficos, sociales, económicos y del mercado laboral encontrado en el departamento. Para la construcción de este documento y la identificación de las principales apuestas estratégicas y proyectos priorizados se utilizaron las siguientes fuentes de información:</w:t>
      </w:r>
    </w:p>
    <w:p w:rsidR="000E7ABC" w:rsidRPr="00574A7C" w:rsidRDefault="000E7ABC" w:rsidP="00574A7C">
      <w:pPr>
        <w:spacing w:after="200" w:line="276" w:lineRule="auto"/>
        <w:ind w:left="426" w:hanging="426"/>
        <w:jc w:val="both"/>
        <w:rPr>
          <w:rFonts w:ascii="Arial" w:hAnsi="Arial" w:cs="Arial"/>
        </w:rPr>
      </w:pPr>
      <w:r w:rsidRPr="00574A7C">
        <w:rPr>
          <w:rFonts w:ascii="Arial" w:hAnsi="Arial" w:cs="Arial"/>
        </w:rPr>
        <w:t>i.</w:t>
      </w:r>
      <w:r w:rsidRPr="00574A7C">
        <w:rPr>
          <w:rFonts w:ascii="Arial" w:hAnsi="Arial" w:cs="Arial"/>
        </w:rPr>
        <w:tab/>
        <w:t>Análisis de fuentes secundarias disponibles en el contexto regional y local relacionadas con el tema de productividad, competitividad y empleabilidad. (Estudios públicos y privados)</w:t>
      </w:r>
    </w:p>
    <w:p w:rsidR="000E7ABC" w:rsidRPr="00574A7C" w:rsidRDefault="000E7ABC" w:rsidP="00574A7C">
      <w:pPr>
        <w:spacing w:after="200" w:line="276" w:lineRule="auto"/>
        <w:ind w:left="426" w:hanging="426"/>
        <w:jc w:val="both"/>
        <w:rPr>
          <w:rFonts w:ascii="Arial" w:hAnsi="Arial" w:cs="Arial"/>
        </w:rPr>
      </w:pPr>
      <w:r w:rsidRPr="00574A7C">
        <w:rPr>
          <w:rFonts w:ascii="Arial" w:hAnsi="Arial" w:cs="Arial"/>
        </w:rPr>
        <w:t>ii.</w:t>
      </w:r>
      <w:r w:rsidRPr="00574A7C">
        <w:rPr>
          <w:rFonts w:ascii="Arial" w:hAnsi="Arial" w:cs="Arial"/>
        </w:rPr>
        <w:tab/>
        <w:t>Ejercicios cualitativos para determinar las percepciones de los diferentes actores del departamento relacionadas con la situación del empleo en el departamento. Para este ejercicio se desarrollaron actividades participativas tales como:</w:t>
      </w:r>
    </w:p>
    <w:p w:rsidR="000E7ABC" w:rsidRPr="00574A7C" w:rsidRDefault="000E7ABC" w:rsidP="00574A7C">
      <w:pPr>
        <w:spacing w:after="200" w:line="276" w:lineRule="auto"/>
        <w:ind w:left="993" w:hanging="285"/>
        <w:jc w:val="both"/>
        <w:rPr>
          <w:rFonts w:ascii="Arial" w:hAnsi="Arial" w:cs="Arial"/>
        </w:rPr>
      </w:pPr>
      <w:r w:rsidRPr="00574A7C">
        <w:rPr>
          <w:rFonts w:ascii="Arial" w:hAnsi="Arial" w:cs="Arial"/>
        </w:rPr>
        <w:t>•</w:t>
      </w:r>
      <w:r w:rsidRPr="00574A7C">
        <w:rPr>
          <w:rFonts w:ascii="Arial" w:hAnsi="Arial" w:cs="Arial"/>
        </w:rPr>
        <w:tab/>
        <w:t>Un  “Café Conversación” con grupos seleccionados (sector público, privado y educativo).</w:t>
      </w:r>
    </w:p>
    <w:p w:rsidR="000E7ABC" w:rsidRPr="00574A7C" w:rsidRDefault="000E7ABC" w:rsidP="00574A7C">
      <w:pPr>
        <w:spacing w:after="200" w:line="276" w:lineRule="auto"/>
        <w:ind w:left="993" w:hanging="285"/>
        <w:jc w:val="both"/>
        <w:rPr>
          <w:rFonts w:ascii="Arial" w:hAnsi="Arial" w:cs="Arial"/>
        </w:rPr>
      </w:pPr>
      <w:r w:rsidRPr="00574A7C">
        <w:rPr>
          <w:rFonts w:ascii="Arial" w:hAnsi="Arial" w:cs="Arial"/>
        </w:rPr>
        <w:t>•</w:t>
      </w:r>
      <w:r w:rsidRPr="00574A7C">
        <w:rPr>
          <w:rFonts w:ascii="Arial" w:hAnsi="Arial" w:cs="Arial"/>
        </w:rPr>
        <w:tab/>
        <w:t>Entrevistas a profundidad a algunos líderes de opinión de los diferentes sectores seleccionados (Público, privado, gremios, fundaciones, etc.)</w:t>
      </w:r>
    </w:p>
    <w:p w:rsidR="000E7ABC" w:rsidRPr="00574A7C" w:rsidRDefault="000E7ABC" w:rsidP="00DC6E74">
      <w:pPr>
        <w:pStyle w:val="Ttulo2"/>
        <w:numPr>
          <w:ilvl w:val="1"/>
          <w:numId w:val="2"/>
        </w:numPr>
        <w:spacing w:before="0" w:line="276" w:lineRule="auto"/>
        <w:rPr>
          <w:rFonts w:ascii="Arial" w:eastAsia="Times New Roman" w:hAnsi="Arial" w:cs="Arial"/>
          <w:color w:val="C00000"/>
          <w:sz w:val="22"/>
          <w:szCs w:val="22"/>
        </w:rPr>
      </w:pPr>
      <w:bookmarkStart w:id="21" w:name="_Toc384367614"/>
      <w:bookmarkStart w:id="22" w:name="_Toc385315681"/>
      <w:bookmarkStart w:id="23" w:name="_Toc389666616"/>
      <w:r w:rsidRPr="00574A7C">
        <w:rPr>
          <w:rFonts w:ascii="Arial" w:eastAsia="Times New Roman" w:hAnsi="Arial" w:cs="Arial"/>
          <w:color w:val="C00000"/>
          <w:sz w:val="22"/>
          <w:szCs w:val="22"/>
        </w:rPr>
        <w:t>Definición del espacio institucional para la gestión del Plan Departamental de Empleo</w:t>
      </w:r>
      <w:bookmarkEnd w:id="21"/>
      <w:bookmarkEnd w:id="22"/>
      <w:bookmarkEnd w:id="23"/>
    </w:p>
    <w:p w:rsidR="000E7ABC" w:rsidRPr="00574A7C" w:rsidRDefault="000E7ABC" w:rsidP="00574A7C">
      <w:pPr>
        <w:spacing w:line="276" w:lineRule="auto"/>
        <w:rPr>
          <w:rFonts w:ascii="Arial" w:hAnsi="Arial" w:cs="Arial"/>
        </w:rPr>
      </w:pPr>
    </w:p>
    <w:p w:rsidR="000E7ABC" w:rsidRPr="00574A7C" w:rsidRDefault="000E7ABC" w:rsidP="00574A7C">
      <w:pPr>
        <w:spacing w:line="276" w:lineRule="auto"/>
        <w:jc w:val="both"/>
        <w:rPr>
          <w:rFonts w:ascii="Arial" w:hAnsi="Arial" w:cs="Arial"/>
        </w:rPr>
      </w:pPr>
      <w:r w:rsidRPr="00574A7C">
        <w:rPr>
          <w:rFonts w:ascii="Arial" w:hAnsi="Arial" w:cs="Arial"/>
        </w:rPr>
        <w:lastRenderedPageBreak/>
        <w:t xml:space="preserve">Con los ejercicios participativos del “Café Conversación” y las entrevistas a profundidad mencionados en el punto anterior se identificaron y validaron algunos de los proyectos que fueron incluidos en el Plan Departamental de Empleo </w:t>
      </w:r>
      <w:r w:rsidRPr="00574A7C">
        <w:rPr>
          <w:rFonts w:ascii="Arial" w:eastAsia="Times New Roman" w:hAnsi="Arial" w:cs="Arial"/>
          <w:bCs/>
          <w:color w:val="222222"/>
          <w:lang w:eastAsia="es-CO"/>
        </w:rPr>
        <w:t>de Bolívar</w:t>
      </w:r>
      <w:r w:rsidRPr="00574A7C">
        <w:rPr>
          <w:rFonts w:ascii="Arial" w:hAnsi="Arial" w:cs="Arial"/>
        </w:rPr>
        <w:t xml:space="preserve">. Sin embargo, en el proceso continuo de relacionamiento territorial desarrollado en el marco del PAT se identificaron algunos espacios de participación y concertación presentes en el departamento y que se constituyeron en los mejores y más apropiados espacios para articular la implementación y el seguimiento del Plan de Empleo. </w:t>
      </w:r>
    </w:p>
    <w:p w:rsidR="000E7ABC" w:rsidRPr="00574A7C" w:rsidRDefault="000E7ABC" w:rsidP="00574A7C">
      <w:pPr>
        <w:spacing w:line="276" w:lineRule="auto"/>
        <w:jc w:val="both"/>
        <w:rPr>
          <w:rFonts w:ascii="Arial" w:hAnsi="Arial" w:cs="Arial"/>
        </w:rPr>
      </w:pPr>
    </w:p>
    <w:p w:rsidR="000E7ABC" w:rsidRPr="00574A7C" w:rsidRDefault="000E7ABC" w:rsidP="00DC6E74">
      <w:pPr>
        <w:numPr>
          <w:ilvl w:val="0"/>
          <w:numId w:val="1"/>
        </w:numPr>
        <w:spacing w:after="200" w:line="276" w:lineRule="auto"/>
        <w:jc w:val="both"/>
        <w:rPr>
          <w:rFonts w:ascii="Arial" w:hAnsi="Arial" w:cs="Arial"/>
          <w:b/>
        </w:rPr>
      </w:pPr>
      <w:r w:rsidRPr="00574A7C">
        <w:rPr>
          <w:rFonts w:ascii="Arial" w:hAnsi="Arial" w:cs="Arial"/>
          <w:b/>
        </w:rPr>
        <w:t>Mesa de competitividad y la subcomisión departamental de concertación de políticas salariales y laborales:</w:t>
      </w:r>
    </w:p>
    <w:p w:rsidR="000E7ABC" w:rsidRPr="00574A7C" w:rsidRDefault="000E7ABC" w:rsidP="00574A7C">
      <w:pPr>
        <w:spacing w:after="200" w:line="276" w:lineRule="auto"/>
        <w:jc w:val="both"/>
        <w:rPr>
          <w:rFonts w:ascii="Arial" w:hAnsi="Arial" w:cs="Arial"/>
          <w:b/>
        </w:rPr>
      </w:pPr>
      <w:r w:rsidRPr="00574A7C">
        <w:rPr>
          <w:rFonts w:ascii="Arial" w:hAnsi="Arial" w:cs="Arial"/>
        </w:rPr>
        <w:t>El mecanismo de diálogo y concertación utilizado en Bolívar ha sido la realización de una serie de reuniones informales (no adscritas a un escenario en particular) liderado por la Dirección de Desarrollo Económico de la Secretaría de Planeación de la Gobernación y al cual han asistido.</w:t>
      </w:r>
    </w:p>
    <w:p w:rsidR="000E7ABC" w:rsidRPr="00574A7C" w:rsidRDefault="000E7ABC" w:rsidP="00574A7C">
      <w:pPr>
        <w:spacing w:line="276" w:lineRule="auto"/>
        <w:jc w:val="both"/>
        <w:rPr>
          <w:rFonts w:ascii="Arial" w:hAnsi="Arial" w:cs="Arial"/>
        </w:rPr>
      </w:pPr>
      <w:r w:rsidRPr="00574A7C">
        <w:rPr>
          <w:rFonts w:ascii="Arial" w:hAnsi="Arial" w:cs="Arial"/>
        </w:rPr>
        <w:t>a.</w:t>
      </w:r>
      <w:r w:rsidRPr="00574A7C">
        <w:rPr>
          <w:rFonts w:ascii="Arial" w:hAnsi="Arial" w:cs="Arial"/>
        </w:rPr>
        <w:tab/>
        <w:t>La dirección territorial del Ministerio del Trabajo</w:t>
      </w:r>
    </w:p>
    <w:p w:rsidR="000E7ABC" w:rsidRPr="00574A7C" w:rsidRDefault="000E7ABC" w:rsidP="00574A7C">
      <w:pPr>
        <w:spacing w:line="276" w:lineRule="auto"/>
        <w:jc w:val="both"/>
        <w:rPr>
          <w:rFonts w:ascii="Arial" w:hAnsi="Arial" w:cs="Arial"/>
        </w:rPr>
      </w:pPr>
      <w:r w:rsidRPr="00574A7C">
        <w:rPr>
          <w:rFonts w:ascii="Arial" w:hAnsi="Arial" w:cs="Arial"/>
        </w:rPr>
        <w:t>b.</w:t>
      </w:r>
      <w:r w:rsidRPr="00574A7C">
        <w:rPr>
          <w:rFonts w:ascii="Arial" w:hAnsi="Arial" w:cs="Arial"/>
        </w:rPr>
        <w:tab/>
        <w:t>La secretaría técnica de la Comisión de Asuntos Laborales y Salariales</w:t>
      </w:r>
    </w:p>
    <w:p w:rsidR="000E7ABC" w:rsidRPr="00574A7C" w:rsidRDefault="000E7ABC" w:rsidP="00574A7C">
      <w:pPr>
        <w:spacing w:line="276" w:lineRule="auto"/>
        <w:jc w:val="both"/>
        <w:rPr>
          <w:rFonts w:ascii="Arial" w:hAnsi="Arial" w:cs="Arial"/>
        </w:rPr>
      </w:pPr>
      <w:r w:rsidRPr="00574A7C">
        <w:rPr>
          <w:rFonts w:ascii="Arial" w:hAnsi="Arial" w:cs="Arial"/>
        </w:rPr>
        <w:t>c.</w:t>
      </w:r>
      <w:r w:rsidRPr="00574A7C">
        <w:rPr>
          <w:rFonts w:ascii="Arial" w:hAnsi="Arial" w:cs="Arial"/>
        </w:rPr>
        <w:tab/>
        <w:t>FENALCO y ANDI</w:t>
      </w:r>
    </w:p>
    <w:p w:rsidR="000E7ABC" w:rsidRPr="00574A7C" w:rsidRDefault="000E7ABC" w:rsidP="00574A7C">
      <w:pPr>
        <w:spacing w:line="276" w:lineRule="auto"/>
        <w:jc w:val="both"/>
        <w:rPr>
          <w:rFonts w:ascii="Arial" w:hAnsi="Arial" w:cs="Arial"/>
        </w:rPr>
      </w:pPr>
    </w:p>
    <w:p w:rsidR="000E7ABC" w:rsidRPr="00574A7C" w:rsidRDefault="000E7ABC" w:rsidP="00574A7C">
      <w:pPr>
        <w:spacing w:line="276" w:lineRule="auto"/>
        <w:jc w:val="both"/>
        <w:rPr>
          <w:rFonts w:ascii="Arial" w:hAnsi="Arial" w:cs="Arial"/>
        </w:rPr>
      </w:pPr>
      <w:r w:rsidRPr="00574A7C">
        <w:rPr>
          <w:rFonts w:ascii="Arial" w:hAnsi="Arial" w:cs="Arial"/>
        </w:rPr>
        <w:t>En este escenario se ha acordado que es innecesaria la creación de un escenario nuevo para hace</w:t>
      </w:r>
      <w:r w:rsidRPr="00574A7C">
        <w:rPr>
          <w:rFonts w:ascii="Arial" w:hAnsi="Arial" w:cs="Arial"/>
          <w:bCs/>
        </w:rPr>
        <w:t>r seguimiento al Plan de Empleo</w:t>
      </w:r>
      <w:r w:rsidRPr="00574A7C">
        <w:rPr>
          <w:rFonts w:ascii="Arial" w:hAnsi="Arial" w:cs="Arial"/>
        </w:rPr>
        <w:t xml:space="preserve"> y la necesidad de concertar ya sea con la Subcomisión o con la Comisión Regional de Competitividad, el seguimiento a la implementación del Plan Departamental de Empleo. </w:t>
      </w:r>
    </w:p>
    <w:p w:rsidR="000E7ABC" w:rsidRPr="00574A7C" w:rsidRDefault="000E7ABC" w:rsidP="00574A7C">
      <w:pPr>
        <w:spacing w:line="276" w:lineRule="auto"/>
        <w:rPr>
          <w:rFonts w:ascii="Arial" w:hAnsi="Arial" w:cs="Arial"/>
          <w:b/>
          <w:bCs/>
        </w:rPr>
      </w:pPr>
    </w:p>
    <w:p w:rsidR="000E7ABC" w:rsidRPr="00574A7C" w:rsidRDefault="000E7ABC" w:rsidP="00DC6E74">
      <w:pPr>
        <w:pStyle w:val="Ttulo2"/>
        <w:numPr>
          <w:ilvl w:val="1"/>
          <w:numId w:val="2"/>
        </w:numPr>
        <w:spacing w:before="0" w:line="276" w:lineRule="auto"/>
        <w:rPr>
          <w:rFonts w:ascii="Arial" w:hAnsi="Arial" w:cs="Arial"/>
          <w:i/>
          <w:iCs/>
          <w:color w:val="C00000"/>
          <w:sz w:val="22"/>
          <w:szCs w:val="22"/>
        </w:rPr>
      </w:pPr>
      <w:bookmarkStart w:id="24" w:name="_Toc385418220"/>
      <w:bookmarkStart w:id="25" w:name="_Toc389666617"/>
      <w:r w:rsidRPr="00574A7C">
        <w:rPr>
          <w:rFonts w:ascii="Arial" w:hAnsi="Arial" w:cs="Arial"/>
          <w:color w:val="C00000"/>
          <w:sz w:val="22"/>
          <w:szCs w:val="22"/>
        </w:rPr>
        <w:t>Socialización del Plan Departamental de Empleo</w:t>
      </w:r>
      <w:bookmarkEnd w:id="24"/>
      <w:bookmarkEnd w:id="25"/>
    </w:p>
    <w:p w:rsidR="000E7ABC" w:rsidRPr="00574A7C" w:rsidRDefault="000E7ABC" w:rsidP="00574A7C">
      <w:pPr>
        <w:spacing w:line="276" w:lineRule="auto"/>
        <w:rPr>
          <w:rFonts w:ascii="Arial" w:hAnsi="Arial" w:cs="Arial"/>
        </w:rPr>
      </w:pPr>
    </w:p>
    <w:p w:rsidR="000E7ABC" w:rsidRPr="00574A7C" w:rsidRDefault="000E7ABC" w:rsidP="00574A7C">
      <w:pPr>
        <w:spacing w:line="276" w:lineRule="auto"/>
        <w:jc w:val="both"/>
        <w:rPr>
          <w:rFonts w:ascii="Arial" w:eastAsia="Times New Roman" w:hAnsi="Arial" w:cs="Arial"/>
          <w:bCs/>
          <w:lang w:eastAsia="es-CO"/>
        </w:rPr>
      </w:pPr>
      <w:r w:rsidRPr="00574A7C">
        <w:rPr>
          <w:rFonts w:ascii="Arial" w:hAnsi="Arial" w:cs="Arial"/>
        </w:rPr>
        <w:t xml:space="preserve">Una vez definido y conceptualizado, el Plan Departamental de Empleo fue socializado en una mesa de trabajo con la mayoría de los actores clave participantes del proceso y que hacen parte de la Subcomisión de concertación de políticas salariales y laborales del departamento para luego ser entregado en forma protocolaria a la Gobernación </w:t>
      </w:r>
      <w:r w:rsidRPr="00574A7C">
        <w:rPr>
          <w:rFonts w:ascii="Arial" w:eastAsia="Times New Roman" w:hAnsi="Arial" w:cs="Arial"/>
          <w:bCs/>
          <w:lang w:eastAsia="es-CO"/>
        </w:rPr>
        <w:t>del departamento de Bolívar.</w:t>
      </w:r>
    </w:p>
    <w:p w:rsidR="000E7ABC" w:rsidRPr="00574A7C" w:rsidRDefault="000E7ABC" w:rsidP="00574A7C">
      <w:pPr>
        <w:spacing w:line="276" w:lineRule="auto"/>
        <w:jc w:val="both"/>
        <w:rPr>
          <w:rFonts w:ascii="Arial" w:hAnsi="Arial" w:cs="Arial"/>
        </w:rPr>
      </w:pPr>
    </w:p>
    <w:p w:rsidR="00F72D07" w:rsidRDefault="00F72D07">
      <w:pPr>
        <w:spacing w:after="200" w:line="276" w:lineRule="auto"/>
        <w:rPr>
          <w:rFonts w:ascii="Arial" w:hAnsi="Arial" w:cs="Arial"/>
        </w:rPr>
      </w:pPr>
      <w:r>
        <w:rPr>
          <w:rFonts w:ascii="Arial" w:hAnsi="Arial" w:cs="Arial"/>
        </w:rPr>
        <w:br w:type="page"/>
      </w:r>
    </w:p>
    <w:p w:rsidR="000E7ABC" w:rsidRDefault="000E7ABC" w:rsidP="000E7ABC">
      <w:pPr>
        <w:spacing w:line="276" w:lineRule="auto"/>
        <w:jc w:val="both"/>
        <w:rPr>
          <w:rFonts w:ascii="Arial" w:hAnsi="Arial" w:cs="Arial"/>
        </w:rPr>
      </w:pPr>
    </w:p>
    <w:p w:rsidR="00D9744C" w:rsidRPr="00574A7C" w:rsidRDefault="00D9744C" w:rsidP="00D9744C">
      <w:pPr>
        <w:pStyle w:val="Ttulo1"/>
        <w:rPr>
          <w:rFonts w:ascii="Arial" w:eastAsia="Times New Roman" w:hAnsi="Arial" w:cs="Arial"/>
          <w:color w:val="C00000"/>
          <w:sz w:val="24"/>
          <w:szCs w:val="24"/>
          <w:lang w:val="es-CO" w:eastAsia="x-none"/>
        </w:rPr>
      </w:pPr>
      <w:bookmarkStart w:id="26" w:name="_Toc384367616"/>
      <w:bookmarkStart w:id="27" w:name="_Toc385315683"/>
      <w:bookmarkStart w:id="28" w:name="_Toc383790153"/>
      <w:bookmarkStart w:id="29" w:name="_Toc384367619"/>
      <w:bookmarkStart w:id="30" w:name="_Toc385315686"/>
      <w:bookmarkStart w:id="31" w:name="_Toc385418224"/>
      <w:bookmarkStart w:id="32" w:name="_Toc386007245"/>
      <w:bookmarkStart w:id="33" w:name="_Toc389666618"/>
      <w:bookmarkEnd w:id="2"/>
      <w:bookmarkEnd w:id="3"/>
      <w:bookmarkEnd w:id="4"/>
      <w:r w:rsidRPr="00574A7C">
        <w:rPr>
          <w:rFonts w:ascii="Arial" w:eastAsia="Times New Roman" w:hAnsi="Arial" w:cs="Arial"/>
          <w:bCs w:val="0"/>
          <w:color w:val="C00000"/>
          <w:sz w:val="24"/>
          <w:szCs w:val="24"/>
          <w:lang w:eastAsia="x-none"/>
        </w:rPr>
        <w:t xml:space="preserve">2. </w:t>
      </w:r>
      <w:bookmarkEnd w:id="26"/>
      <w:bookmarkEnd w:id="27"/>
      <w:r w:rsidRPr="00D9744C">
        <w:rPr>
          <w:rFonts w:ascii="Arial" w:eastAsia="Times New Roman" w:hAnsi="Arial" w:cs="Arial"/>
          <w:color w:val="C00000"/>
          <w:sz w:val="24"/>
          <w:szCs w:val="24"/>
          <w:lang w:val="es-CO" w:eastAsia="x-none"/>
        </w:rPr>
        <w:t>Caracterización socioeconómica general del departamento</w:t>
      </w:r>
      <w:bookmarkEnd w:id="33"/>
    </w:p>
    <w:p w:rsidR="00D9744C" w:rsidRPr="00D9744C" w:rsidRDefault="00D9744C" w:rsidP="00D9744C">
      <w:pPr>
        <w:rPr>
          <w:lang w:val="es-CO" w:eastAsia="x-none"/>
        </w:rPr>
      </w:pPr>
    </w:p>
    <w:p w:rsidR="00D9744C" w:rsidRPr="00D9744C" w:rsidRDefault="00D9744C" w:rsidP="00D9744C">
      <w:pPr>
        <w:spacing w:after="200" w:line="276" w:lineRule="auto"/>
        <w:jc w:val="both"/>
        <w:rPr>
          <w:rFonts w:ascii="Arial" w:hAnsi="Arial" w:cs="Arial"/>
          <w:lang w:val="es-CO"/>
        </w:rPr>
      </w:pPr>
      <w:r w:rsidRPr="00D9744C">
        <w:rPr>
          <w:rFonts w:ascii="Arial" w:hAnsi="Arial" w:cs="Arial"/>
          <w:lang w:val="es-CO"/>
        </w:rPr>
        <w:t xml:space="preserve">En este apartado se presenta una caracterización socioeconómica general del departamento de Bolívar. El objetivo es </w:t>
      </w:r>
      <w:r w:rsidR="00F72D07">
        <w:rPr>
          <w:rFonts w:ascii="Arial" w:hAnsi="Arial" w:cs="Arial"/>
          <w:lang w:val="es-CO"/>
        </w:rPr>
        <w:t>proporcionar</w:t>
      </w:r>
      <w:r w:rsidRPr="00D9744C">
        <w:rPr>
          <w:rFonts w:ascii="Arial" w:hAnsi="Arial" w:cs="Arial"/>
          <w:lang w:val="es-CO"/>
        </w:rPr>
        <w:t xml:space="preserve"> una mirada global y actualizada a los principales rasgos de la economía de este departamento y de su población, así como a la evolución en el mediano plazo de algunos indicadores clave (tabla 1) para comprender sus particularidades  en el contexto de la economía colombiana y brindar así un soporte cuantitativo para el diseño y aplicación de iniciativas con impacto territorial. </w:t>
      </w:r>
    </w:p>
    <w:p w:rsidR="00D9744C" w:rsidRPr="00661885" w:rsidRDefault="00D9744C" w:rsidP="00661885">
      <w:pPr>
        <w:pStyle w:val="Epgrafe"/>
        <w:jc w:val="center"/>
        <w:rPr>
          <w:rFonts w:ascii="Arial" w:hAnsi="Arial" w:cs="Arial"/>
          <w:color w:val="auto"/>
          <w:sz w:val="22"/>
          <w:szCs w:val="22"/>
        </w:rPr>
      </w:pPr>
      <w:bookmarkStart w:id="34" w:name="_Toc385779543"/>
      <w:bookmarkStart w:id="35" w:name="_Toc385804331"/>
      <w:bookmarkStart w:id="36" w:name="_Toc385843994"/>
      <w:bookmarkStart w:id="37" w:name="_Toc386451940"/>
      <w:bookmarkStart w:id="38" w:name="_Toc389667014"/>
      <w:r w:rsidRPr="00661885">
        <w:rPr>
          <w:rFonts w:ascii="Arial" w:hAnsi="Arial" w:cs="Arial"/>
          <w:color w:val="auto"/>
          <w:sz w:val="22"/>
          <w:szCs w:val="22"/>
        </w:rPr>
        <w:t xml:space="preserve">Tabla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Tabla \* ARABIC </w:instrText>
      </w:r>
      <w:r w:rsidRPr="00661885">
        <w:rPr>
          <w:rFonts w:ascii="Arial" w:hAnsi="Arial" w:cs="Arial"/>
          <w:color w:val="auto"/>
          <w:sz w:val="22"/>
          <w:szCs w:val="22"/>
        </w:rPr>
        <w:fldChar w:fldCharType="separate"/>
      </w:r>
      <w:r w:rsidRPr="00661885">
        <w:rPr>
          <w:rFonts w:ascii="Arial" w:hAnsi="Arial" w:cs="Arial"/>
          <w:color w:val="auto"/>
          <w:sz w:val="22"/>
          <w:szCs w:val="22"/>
        </w:rPr>
        <w:t>1</w:t>
      </w:r>
      <w:r w:rsidRPr="00661885">
        <w:rPr>
          <w:rFonts w:ascii="Arial" w:hAnsi="Arial" w:cs="Arial"/>
          <w:color w:val="auto"/>
          <w:sz w:val="22"/>
          <w:szCs w:val="22"/>
        </w:rPr>
        <w:fldChar w:fldCharType="end"/>
      </w:r>
      <w:r w:rsidRPr="00661885">
        <w:rPr>
          <w:rFonts w:ascii="Arial" w:hAnsi="Arial" w:cs="Arial"/>
          <w:color w:val="auto"/>
          <w:sz w:val="22"/>
          <w:szCs w:val="22"/>
        </w:rPr>
        <w:t>. Generalidades del departamento de</w:t>
      </w:r>
      <w:bookmarkEnd w:id="34"/>
      <w:bookmarkEnd w:id="35"/>
      <w:bookmarkEnd w:id="36"/>
      <w:bookmarkEnd w:id="37"/>
      <w:r w:rsidRPr="00661885">
        <w:rPr>
          <w:rFonts w:ascii="Arial" w:hAnsi="Arial" w:cs="Arial"/>
          <w:color w:val="auto"/>
          <w:sz w:val="22"/>
          <w:szCs w:val="22"/>
        </w:rPr>
        <w:t xml:space="preserve"> Bolívar</w:t>
      </w:r>
      <w:bookmarkEnd w:id="38"/>
    </w:p>
    <w:tbl>
      <w:tblPr>
        <w:tblW w:w="9710" w:type="dxa"/>
        <w:jc w:val="center"/>
        <w:tblLayout w:type="fixed"/>
        <w:tblCellMar>
          <w:left w:w="70" w:type="dxa"/>
          <w:right w:w="70" w:type="dxa"/>
        </w:tblCellMar>
        <w:tblLook w:val="04A0" w:firstRow="1" w:lastRow="0" w:firstColumn="1" w:lastColumn="0" w:noHBand="0" w:noVBand="1"/>
      </w:tblPr>
      <w:tblGrid>
        <w:gridCol w:w="6585"/>
        <w:gridCol w:w="1423"/>
        <w:gridCol w:w="1702"/>
      </w:tblGrid>
      <w:tr w:rsidR="00D9744C" w:rsidRPr="00D9744C" w:rsidTr="000E14A3">
        <w:trPr>
          <w:trHeight w:val="20"/>
          <w:jc w:val="center"/>
        </w:trPr>
        <w:tc>
          <w:tcPr>
            <w:tcW w:w="6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Variables e indicadores</w:t>
            </w:r>
          </w:p>
        </w:tc>
        <w:tc>
          <w:tcPr>
            <w:tcW w:w="1423" w:type="dxa"/>
            <w:tcBorders>
              <w:top w:val="single" w:sz="4" w:space="0" w:color="auto"/>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Bolívar</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Nacional</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Población (proyección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2,025,573</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45.253.707</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Porcentaje población urbana (proyección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76,8%</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74,35%</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Porcentaje poblacional rural (proyección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23,2%</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25,65%</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Tasa media de crecimiento poblacional (exponencial) 2010-2015*</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11.51</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11,48</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Saldo Neto Migratorio interdepartamental y total para la Nación*</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-18.812</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-661.151</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Participación del PIB departamental en el total nacional 2011</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3,9%</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100,0%</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 xml:space="preserve">Crecimiento promedio PIB (%) 2000 </w:t>
            </w:r>
            <w:r w:rsidR="001D7E55">
              <w:rPr>
                <w:rFonts w:ascii="Arial" w:eastAsia="Times New Roman" w:hAnsi="Arial" w:cs="Arial"/>
                <w:b/>
                <w:bCs/>
                <w:color w:val="000000"/>
                <w:sz w:val="20"/>
                <w:szCs w:val="20"/>
                <w:lang w:val="es-CO" w:eastAsia="es-CO"/>
              </w:rPr>
              <w:t>–</w:t>
            </w:r>
            <w:r w:rsidRPr="00D9744C">
              <w:rPr>
                <w:rFonts w:ascii="Arial" w:eastAsia="Times New Roman" w:hAnsi="Arial" w:cs="Arial"/>
                <w:b/>
                <w:bCs/>
                <w:color w:val="000000"/>
                <w:sz w:val="20"/>
                <w:szCs w:val="20"/>
                <w:lang w:val="es-CO" w:eastAsia="es-CO"/>
              </w:rPr>
              <w:t xml:space="preserve"> 2011</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4,6%</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4,0%</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PIB per cápita a precios corrientes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$ 13,795,602</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      13.500.280</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proofErr w:type="spellStart"/>
            <w:r w:rsidRPr="00D9744C">
              <w:rPr>
                <w:rFonts w:ascii="Arial" w:eastAsia="Times New Roman" w:hAnsi="Arial" w:cs="Arial"/>
                <w:b/>
                <w:bCs/>
                <w:color w:val="000000"/>
                <w:sz w:val="20"/>
                <w:szCs w:val="20"/>
                <w:lang w:val="es-CO" w:eastAsia="es-CO"/>
              </w:rPr>
              <w:t>Indice</w:t>
            </w:r>
            <w:proofErr w:type="spellEnd"/>
            <w:r w:rsidRPr="00D9744C">
              <w:rPr>
                <w:rFonts w:ascii="Arial" w:eastAsia="Times New Roman" w:hAnsi="Arial" w:cs="Arial"/>
                <w:b/>
                <w:bCs/>
                <w:color w:val="000000"/>
                <w:sz w:val="20"/>
                <w:szCs w:val="20"/>
                <w:lang w:val="es-CO" w:eastAsia="es-CO"/>
              </w:rPr>
              <w:t xml:space="preserve"> de desigualdad de </w:t>
            </w:r>
            <w:proofErr w:type="spellStart"/>
            <w:r w:rsidRPr="00D9744C">
              <w:rPr>
                <w:rFonts w:ascii="Arial" w:eastAsia="Times New Roman" w:hAnsi="Arial" w:cs="Arial"/>
                <w:b/>
                <w:bCs/>
                <w:color w:val="000000"/>
                <w:sz w:val="20"/>
                <w:szCs w:val="20"/>
                <w:lang w:val="es-CO" w:eastAsia="es-CO"/>
              </w:rPr>
              <w:t>Gini</w:t>
            </w:r>
            <w:proofErr w:type="spellEnd"/>
            <w:r w:rsidRPr="00D9744C">
              <w:rPr>
                <w:rFonts w:ascii="Arial" w:eastAsia="Times New Roman" w:hAnsi="Arial" w:cs="Arial"/>
                <w:b/>
                <w:bCs/>
                <w:color w:val="000000"/>
                <w:sz w:val="20"/>
                <w:szCs w:val="20"/>
                <w:lang w:val="es-CO" w:eastAsia="es-CO"/>
              </w:rPr>
              <w:t xml:space="preserve">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0.506</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0.539</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Porcentaje de población con NBI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46,6%</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27,7%</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Incidencia de la Pobreza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44,2%</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32.7%</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Incidencia de la Pobreza Extrema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13.2%</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sz w:val="20"/>
                <w:szCs w:val="20"/>
                <w:lang w:val="es-CO" w:eastAsia="es-CO"/>
              </w:rPr>
            </w:pPr>
            <w:r w:rsidRPr="00D9744C">
              <w:rPr>
                <w:rFonts w:ascii="Arial" w:eastAsia="Times New Roman" w:hAnsi="Arial" w:cs="Arial"/>
                <w:sz w:val="20"/>
                <w:szCs w:val="20"/>
                <w:lang w:val="es-CO" w:eastAsia="es-CO"/>
              </w:rPr>
              <w:t>10.4%</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Índice de pobreza multidimensional (2011)</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63,4%</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49,6%</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Tasa de analfabetismo (2011)</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11,3%</w:t>
            </w:r>
          </w:p>
        </w:tc>
        <w:tc>
          <w:tcPr>
            <w:tcW w:w="170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8,8%</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Años promedio de educación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6.5</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6.9</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Cobertura en Salud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89.1%</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89,4%</w:t>
            </w:r>
          </w:p>
        </w:tc>
      </w:tr>
      <w:tr w:rsidR="00D9744C" w:rsidRPr="00D9744C" w:rsidTr="000E14A3">
        <w:trPr>
          <w:trHeight w:val="20"/>
          <w:jc w:val="center"/>
        </w:trPr>
        <w:tc>
          <w:tcPr>
            <w:tcW w:w="6585" w:type="dxa"/>
            <w:tcBorders>
              <w:top w:val="nil"/>
              <w:left w:val="single" w:sz="4" w:space="0" w:color="auto"/>
              <w:bottom w:val="single" w:sz="4" w:space="0" w:color="auto"/>
              <w:right w:val="single" w:sz="4" w:space="0" w:color="auto"/>
            </w:tcBorders>
            <w:shd w:val="clear" w:color="auto" w:fill="auto"/>
            <w:vAlign w:val="center"/>
            <w:hideMark/>
          </w:tcPr>
          <w:p w:rsidR="00D9744C" w:rsidRPr="00D9744C" w:rsidRDefault="00D9744C" w:rsidP="000145B6">
            <w:pPr>
              <w:rPr>
                <w:rFonts w:ascii="Arial" w:eastAsia="Times New Roman" w:hAnsi="Arial" w:cs="Arial"/>
                <w:b/>
                <w:bCs/>
                <w:color w:val="000000"/>
                <w:sz w:val="20"/>
                <w:szCs w:val="20"/>
                <w:lang w:val="es-CO" w:eastAsia="es-CO"/>
              </w:rPr>
            </w:pPr>
            <w:r w:rsidRPr="00D9744C">
              <w:rPr>
                <w:rFonts w:ascii="Arial" w:eastAsia="Times New Roman" w:hAnsi="Arial" w:cs="Arial"/>
                <w:b/>
                <w:bCs/>
                <w:color w:val="000000"/>
                <w:sz w:val="20"/>
                <w:szCs w:val="20"/>
                <w:lang w:val="es-CO" w:eastAsia="es-CO"/>
              </w:rPr>
              <w:t>Tasa de desempleo 2012</w:t>
            </w:r>
          </w:p>
        </w:tc>
        <w:tc>
          <w:tcPr>
            <w:tcW w:w="142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7,6%</w:t>
            </w:r>
          </w:p>
        </w:tc>
        <w:tc>
          <w:tcPr>
            <w:tcW w:w="1702" w:type="dxa"/>
            <w:tcBorders>
              <w:top w:val="nil"/>
              <w:left w:val="nil"/>
              <w:bottom w:val="single" w:sz="4" w:space="0" w:color="auto"/>
              <w:right w:val="single" w:sz="4" w:space="0" w:color="auto"/>
            </w:tcBorders>
            <w:shd w:val="clear" w:color="auto" w:fill="auto"/>
            <w:vAlign w:val="center"/>
            <w:hideMark/>
          </w:tcPr>
          <w:p w:rsidR="00D9744C" w:rsidRPr="00D9744C" w:rsidRDefault="00D9744C" w:rsidP="00D9744C">
            <w:pPr>
              <w:jc w:val="center"/>
              <w:rPr>
                <w:rFonts w:ascii="Arial" w:eastAsia="Times New Roman" w:hAnsi="Arial" w:cs="Arial"/>
                <w:color w:val="000000"/>
                <w:sz w:val="20"/>
                <w:szCs w:val="20"/>
                <w:lang w:val="es-CO" w:eastAsia="es-CO"/>
              </w:rPr>
            </w:pPr>
            <w:r w:rsidRPr="00D9744C">
              <w:rPr>
                <w:rFonts w:ascii="Arial" w:eastAsia="Times New Roman" w:hAnsi="Arial" w:cs="Arial"/>
                <w:color w:val="000000"/>
                <w:sz w:val="20"/>
                <w:szCs w:val="20"/>
                <w:lang w:val="es-CO" w:eastAsia="es-CO"/>
              </w:rPr>
              <w:t>10,4%</w:t>
            </w:r>
          </w:p>
        </w:tc>
      </w:tr>
    </w:tbl>
    <w:p w:rsidR="00D9744C" w:rsidRPr="00D9744C" w:rsidRDefault="00D9744C" w:rsidP="00D9744C">
      <w:pPr>
        <w:autoSpaceDE w:val="0"/>
        <w:autoSpaceDN w:val="0"/>
        <w:adjustRightInd w:val="0"/>
        <w:spacing w:before="240" w:line="276" w:lineRule="auto"/>
        <w:rPr>
          <w:rFonts w:ascii="Arial" w:hAnsi="Arial" w:cs="Arial"/>
          <w:sz w:val="18"/>
          <w:szCs w:val="18"/>
          <w:lang w:val="es-CO"/>
        </w:rPr>
      </w:pPr>
      <w:r w:rsidRPr="00D9744C">
        <w:rPr>
          <w:rFonts w:ascii="Arial" w:hAnsi="Arial" w:cs="Arial"/>
          <w:sz w:val="18"/>
          <w:szCs w:val="18"/>
          <w:lang w:val="es-CO"/>
        </w:rPr>
        <w:t>Fuente: DANE. Proyecciones de población a 2012 con base en censo 2005 y Gran Encuesta Integrada de Hogares 2012. * Corresponde a los datos de crecimiento quinquenal calculadas por el DANE.</w:t>
      </w:r>
    </w:p>
    <w:p w:rsidR="00D9744C" w:rsidRPr="00D9744C" w:rsidRDefault="00D9744C" w:rsidP="00D9744C">
      <w:pPr>
        <w:spacing w:after="200" w:line="276" w:lineRule="auto"/>
        <w:jc w:val="both"/>
        <w:rPr>
          <w:rFonts w:ascii="Arial" w:hAnsi="Arial" w:cs="Arial"/>
          <w:lang w:val="es-CO"/>
        </w:rPr>
      </w:pPr>
    </w:p>
    <w:p w:rsidR="00D9744C" w:rsidRDefault="00D9744C" w:rsidP="00DC6E74">
      <w:pPr>
        <w:pStyle w:val="Ttulo2"/>
        <w:numPr>
          <w:ilvl w:val="1"/>
          <w:numId w:val="37"/>
        </w:numPr>
        <w:spacing w:before="0" w:line="276" w:lineRule="auto"/>
        <w:rPr>
          <w:rFonts w:ascii="Arial" w:eastAsia="Times New Roman" w:hAnsi="Arial" w:cs="Arial"/>
          <w:color w:val="C00000"/>
          <w:sz w:val="22"/>
          <w:szCs w:val="22"/>
        </w:rPr>
      </w:pPr>
      <w:bookmarkStart w:id="39" w:name="_Toc385315684"/>
      <w:bookmarkStart w:id="40" w:name="_Toc389666619"/>
      <w:r w:rsidRPr="00661885">
        <w:rPr>
          <w:rFonts w:ascii="Arial" w:eastAsia="Times New Roman" w:hAnsi="Arial" w:cs="Arial"/>
          <w:color w:val="C00000"/>
          <w:sz w:val="22"/>
          <w:szCs w:val="22"/>
        </w:rPr>
        <w:t>Aspectos sociodemográficos</w:t>
      </w:r>
      <w:bookmarkEnd w:id="39"/>
      <w:bookmarkEnd w:id="40"/>
    </w:p>
    <w:p w:rsidR="00661885" w:rsidRPr="00661885" w:rsidRDefault="00661885" w:rsidP="00661885"/>
    <w:p w:rsidR="00D9744C" w:rsidRPr="00D9744C" w:rsidRDefault="00D9744C" w:rsidP="00D9744C">
      <w:pPr>
        <w:spacing w:after="200" w:line="276" w:lineRule="auto"/>
        <w:jc w:val="both"/>
        <w:rPr>
          <w:rFonts w:ascii="Arial" w:hAnsi="Arial" w:cs="Arial"/>
          <w:lang w:val="es-CO"/>
        </w:rPr>
      </w:pPr>
      <w:r w:rsidRPr="00D9744C">
        <w:rPr>
          <w:rFonts w:ascii="Arial" w:hAnsi="Arial" w:cs="Arial"/>
          <w:lang w:val="es-CO"/>
        </w:rPr>
        <w:t>Según el Departamento Administrativo Nacional de Estadística - DANE, la proyección de la población para el departamento de Bolívar en el 2012 fue de 2´025.573 habitantes, que representan el 4,35% del total nacional. La población tiene una distribución por cabecera y resto similar al promedio nacional, incluso ligeramente más urbanizada</w:t>
      </w:r>
      <w:r w:rsidR="009177DE">
        <w:rPr>
          <w:rFonts w:ascii="Arial" w:hAnsi="Arial" w:cs="Arial"/>
          <w:lang w:val="es-CO"/>
        </w:rPr>
        <w:t xml:space="preserve"> y en términos de crecimiento demográfico p</w:t>
      </w:r>
      <w:r w:rsidRPr="00D9744C">
        <w:rPr>
          <w:rFonts w:ascii="Arial" w:hAnsi="Arial" w:cs="Arial"/>
          <w:lang w:val="es-CO"/>
        </w:rPr>
        <w:t xml:space="preserve">ara el quinquenio 2010-2015 </w:t>
      </w:r>
      <w:r w:rsidR="009177DE">
        <w:rPr>
          <w:rFonts w:ascii="Arial" w:hAnsi="Arial" w:cs="Arial"/>
          <w:lang w:val="es-CO"/>
        </w:rPr>
        <w:t>se espera una tasa promedio cercana a la dinámica nacional.</w:t>
      </w:r>
    </w:p>
    <w:p w:rsid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En cuanto a la densidad poblacional para el 2012, el departamento de Bolívar,</w:t>
      </w:r>
      <w:r>
        <w:rPr>
          <w:rFonts w:ascii="Arial" w:hAnsi="Arial" w:cs="Arial"/>
          <w:lang w:val="es-CO"/>
        </w:rPr>
        <w:t xml:space="preserve"> como se observa en el gráfico 2</w:t>
      </w:r>
      <w:r w:rsidRPr="00D9744C">
        <w:rPr>
          <w:rFonts w:ascii="Arial" w:hAnsi="Arial" w:cs="Arial"/>
          <w:lang w:val="es-CO"/>
        </w:rPr>
        <w:t>, ocupa el décimo puesto a nivel nacional con 78,0 habitantes por kilómetro cuadrado (km2).</w:t>
      </w:r>
    </w:p>
    <w:p w:rsidR="009177DE" w:rsidRPr="00D9744C" w:rsidRDefault="009177DE"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pStyle w:val="Epgrafe"/>
        <w:jc w:val="center"/>
        <w:rPr>
          <w:rFonts w:ascii="Arial" w:hAnsi="Arial" w:cs="Arial"/>
          <w:color w:val="auto"/>
          <w:sz w:val="22"/>
          <w:szCs w:val="22"/>
        </w:rPr>
      </w:pPr>
      <w:bookmarkStart w:id="41" w:name="_Toc389666958"/>
      <w:r w:rsidRPr="00D9744C">
        <w:rPr>
          <w:rFonts w:ascii="Arial" w:hAnsi="Arial" w:cs="Arial"/>
          <w:color w:val="auto"/>
          <w:sz w:val="22"/>
          <w:szCs w:val="22"/>
        </w:rPr>
        <w:lastRenderedPageBreak/>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2</w:t>
      </w:r>
      <w:r w:rsidRPr="00D9744C">
        <w:rPr>
          <w:rFonts w:ascii="Arial" w:hAnsi="Arial" w:cs="Arial"/>
          <w:color w:val="auto"/>
          <w:sz w:val="22"/>
          <w:szCs w:val="22"/>
        </w:rPr>
        <w:fldChar w:fldCharType="end"/>
      </w:r>
      <w:r w:rsidRPr="00D9744C">
        <w:rPr>
          <w:rFonts w:ascii="Arial" w:hAnsi="Arial" w:cs="Arial"/>
          <w:color w:val="auto"/>
          <w:sz w:val="22"/>
          <w:szCs w:val="22"/>
        </w:rPr>
        <w:t>. Densidad poblacional, año 2012</w:t>
      </w:r>
      <w:bookmarkEnd w:id="41"/>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noProof/>
          <w:lang w:eastAsia="es-ES"/>
        </w:rPr>
        <w:drawing>
          <wp:inline distT="0" distB="0" distL="0" distR="0" wp14:anchorId="4A15C938" wp14:editId="40D556AA">
            <wp:extent cx="5629275" cy="28956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744C" w:rsidRPr="00D9744C" w:rsidRDefault="00D9744C" w:rsidP="00D9744C">
      <w:pPr>
        <w:autoSpaceDE w:val="0"/>
        <w:autoSpaceDN w:val="0"/>
        <w:adjustRightInd w:val="0"/>
        <w:spacing w:after="200" w:line="276" w:lineRule="auto"/>
        <w:jc w:val="center"/>
        <w:rPr>
          <w:rFonts w:ascii="Arial" w:hAnsi="Arial" w:cs="Arial"/>
          <w:sz w:val="18"/>
          <w:szCs w:val="18"/>
          <w:lang w:val="es-CO"/>
        </w:rPr>
      </w:pPr>
      <w:r w:rsidRPr="00D9744C">
        <w:rPr>
          <w:rFonts w:ascii="Arial" w:hAnsi="Arial" w:cs="Arial"/>
          <w:sz w:val="18"/>
          <w:szCs w:val="18"/>
          <w:lang w:val="es-CO"/>
        </w:rPr>
        <w:t>Fuentes: DANE Proyecciones de población; Instituto Geográfico Agustín Codazzi. Cálculos: Ministerio del Trabajo – FUPAD</w:t>
      </w:r>
    </w:p>
    <w:p w:rsidR="009E16E2" w:rsidRDefault="009E16E2" w:rsidP="00D9744C">
      <w:pPr>
        <w:autoSpaceDE w:val="0"/>
        <w:autoSpaceDN w:val="0"/>
        <w:adjustRightInd w:val="0"/>
        <w:spacing w:after="200" w:line="276" w:lineRule="auto"/>
        <w:jc w:val="both"/>
        <w:rPr>
          <w:rFonts w:ascii="Arial" w:hAnsi="Arial" w:cs="Arial"/>
          <w:lang w:val="es-CO"/>
        </w:rPr>
      </w:pPr>
      <w:r>
        <w:rPr>
          <w:rFonts w:ascii="Arial" w:hAnsi="Arial" w:cs="Arial"/>
          <w:lang w:val="es-CO"/>
        </w:rPr>
        <w:t xml:space="preserve">Los datos de la </w:t>
      </w:r>
      <w:r w:rsidR="00D9744C" w:rsidRPr="00D9744C">
        <w:rPr>
          <w:rFonts w:ascii="Arial" w:hAnsi="Arial" w:cs="Arial"/>
          <w:lang w:val="es-CO"/>
        </w:rPr>
        <w:t xml:space="preserve">tabla 2, que muestra la distribución de la población del Bolívar por municipios, se destaca la alta concentración presente en la capital Cartagena, que concentra al 47,7%. </w:t>
      </w:r>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Cartagena cuenta con una población de 967.103 habitantes, de los cuales 923.414 se encuentran en las zonas de cabecera y 43.698 en el resto (rural), representando 95,5 y 4,5% respectivamente Esta concentración es en parte explicada por la fuerte migración de población a la capital del departamento causada por la existencia de factores de riesgo asociados al conflicto armado y a la fuerte presencia de grupos al margen de la ley en las zonas rurales del departamento, particularmente, en Montes de María.</w:t>
      </w:r>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 xml:space="preserve">Cerca del 70% de la población de Bolívar se ubica en los municipios de Cartagena (47,7%), </w:t>
      </w:r>
      <w:proofErr w:type="spellStart"/>
      <w:r w:rsidRPr="00D9744C">
        <w:rPr>
          <w:rFonts w:ascii="Arial" w:hAnsi="Arial" w:cs="Arial"/>
          <w:lang w:val="es-CO"/>
        </w:rPr>
        <w:t>Magangué</w:t>
      </w:r>
      <w:proofErr w:type="spellEnd"/>
      <w:r w:rsidRPr="00D9744C">
        <w:rPr>
          <w:rFonts w:ascii="Arial" w:hAnsi="Arial" w:cs="Arial"/>
          <w:lang w:val="es-CO"/>
        </w:rPr>
        <w:t xml:space="preserve"> (6,1%), El Carmen de Bolívar (3,6%), Tumaco (3,4%), Arjona (3,4%), María La Baja (2,3%), </w:t>
      </w:r>
      <w:proofErr w:type="spellStart"/>
      <w:r w:rsidRPr="00D9744C">
        <w:rPr>
          <w:rFonts w:ascii="Arial" w:hAnsi="Arial" w:cs="Arial"/>
          <w:lang w:val="es-CO"/>
        </w:rPr>
        <w:t>Mompós</w:t>
      </w:r>
      <w:proofErr w:type="spellEnd"/>
      <w:r w:rsidRPr="00D9744C">
        <w:rPr>
          <w:rFonts w:ascii="Arial" w:hAnsi="Arial" w:cs="Arial"/>
          <w:lang w:val="es-CO"/>
        </w:rPr>
        <w:t xml:space="preserve"> (2,1%), Santa Rosa del Sur (1,9%), San Juan Nepomuceno (1,6%) y San Pablo (1,5%).</w:t>
      </w:r>
    </w:p>
    <w:p w:rsid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Dentro de los municipios que concentran su población en las zonas de cabecera</w:t>
      </w:r>
      <w:r w:rsidR="009E16E2">
        <w:rPr>
          <w:rFonts w:ascii="Arial" w:hAnsi="Arial" w:cs="Arial"/>
          <w:lang w:val="es-CO"/>
        </w:rPr>
        <w:t xml:space="preserve"> </w:t>
      </w:r>
      <w:r w:rsidRPr="00D9744C">
        <w:rPr>
          <w:rFonts w:ascii="Arial" w:hAnsi="Arial" w:cs="Arial"/>
          <w:lang w:val="es-CO"/>
        </w:rPr>
        <w:t xml:space="preserve">se encuentran </w:t>
      </w:r>
      <w:proofErr w:type="spellStart"/>
      <w:r w:rsidRPr="00D9744C">
        <w:rPr>
          <w:rFonts w:ascii="Arial" w:hAnsi="Arial" w:cs="Arial"/>
          <w:lang w:val="es-CO"/>
        </w:rPr>
        <w:t>Soplaviento</w:t>
      </w:r>
      <w:proofErr w:type="spellEnd"/>
      <w:r w:rsidRPr="00D9744C">
        <w:rPr>
          <w:rFonts w:ascii="Arial" w:hAnsi="Arial" w:cs="Arial"/>
          <w:lang w:val="es-CO"/>
        </w:rPr>
        <w:t xml:space="preserve"> (97,3%), Cartagena (95,5%), San Jacinto (95,1%), </w:t>
      </w:r>
      <w:proofErr w:type="spellStart"/>
      <w:r w:rsidRPr="00D9744C">
        <w:rPr>
          <w:rFonts w:ascii="Arial" w:hAnsi="Arial" w:cs="Arial"/>
          <w:lang w:val="es-CO"/>
        </w:rPr>
        <w:t>Turbaco</w:t>
      </w:r>
      <w:proofErr w:type="spellEnd"/>
      <w:r w:rsidRPr="00D9744C">
        <w:rPr>
          <w:rFonts w:ascii="Arial" w:hAnsi="Arial" w:cs="Arial"/>
          <w:lang w:val="es-CO"/>
        </w:rPr>
        <w:t xml:space="preserve"> (92,4%) y </w:t>
      </w:r>
      <w:proofErr w:type="spellStart"/>
      <w:r w:rsidRPr="00D9744C">
        <w:rPr>
          <w:rFonts w:ascii="Arial" w:hAnsi="Arial" w:cs="Arial"/>
          <w:lang w:val="es-CO"/>
        </w:rPr>
        <w:t>Turbaná</w:t>
      </w:r>
      <w:proofErr w:type="spellEnd"/>
      <w:r w:rsidRPr="00D9744C">
        <w:rPr>
          <w:rFonts w:ascii="Arial" w:hAnsi="Arial" w:cs="Arial"/>
          <w:lang w:val="es-CO"/>
        </w:rPr>
        <w:t xml:space="preserve"> (92,0%). Otros municipios de Bolívar concentran a la población en la zona resto, como es el caso de Pinillos (89,3%), </w:t>
      </w:r>
      <w:proofErr w:type="spellStart"/>
      <w:r w:rsidRPr="00D9744C">
        <w:rPr>
          <w:rFonts w:ascii="Arial" w:hAnsi="Arial" w:cs="Arial"/>
          <w:lang w:val="es-CO"/>
        </w:rPr>
        <w:t>Achí</w:t>
      </w:r>
      <w:proofErr w:type="spellEnd"/>
      <w:r w:rsidRPr="00D9744C">
        <w:rPr>
          <w:rFonts w:ascii="Arial" w:hAnsi="Arial" w:cs="Arial"/>
          <w:lang w:val="es-CO"/>
        </w:rPr>
        <w:t xml:space="preserve"> (82,4%), Margarita (82,4%), San Fernando (78,7%) y Córdoba (74,7%).</w:t>
      </w:r>
    </w:p>
    <w:p w:rsidR="009E16E2" w:rsidRPr="00D9744C" w:rsidRDefault="009E16E2"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jc w:val="center"/>
        <w:rPr>
          <w:rFonts w:ascii="Arial" w:hAnsi="Arial" w:cs="Arial"/>
          <w:bCs/>
        </w:rPr>
      </w:pPr>
    </w:p>
    <w:p w:rsidR="00D9744C" w:rsidRPr="00D9744C" w:rsidRDefault="00D9744C" w:rsidP="00D9744C">
      <w:pPr>
        <w:jc w:val="center"/>
        <w:rPr>
          <w:rFonts w:ascii="Arial" w:hAnsi="Arial" w:cs="Arial"/>
          <w:bCs/>
        </w:rPr>
      </w:pPr>
    </w:p>
    <w:p w:rsidR="00D9744C" w:rsidRPr="00D9744C" w:rsidRDefault="00D9744C" w:rsidP="00D9744C">
      <w:pPr>
        <w:pStyle w:val="Epgrafe"/>
        <w:jc w:val="center"/>
        <w:rPr>
          <w:rFonts w:ascii="Arial" w:hAnsi="Arial" w:cs="Arial"/>
          <w:color w:val="auto"/>
          <w:sz w:val="22"/>
          <w:szCs w:val="22"/>
        </w:rPr>
      </w:pPr>
      <w:bookmarkStart w:id="42" w:name="_Toc389667015"/>
      <w:r w:rsidRPr="00D9744C">
        <w:rPr>
          <w:rFonts w:ascii="Arial" w:hAnsi="Arial" w:cs="Arial"/>
          <w:color w:val="auto"/>
          <w:sz w:val="22"/>
          <w:szCs w:val="22"/>
        </w:rPr>
        <w:lastRenderedPageBreak/>
        <w:t xml:space="preserve">Tabla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Tabla \* ARABIC </w:instrText>
      </w:r>
      <w:r w:rsidRPr="00D9744C">
        <w:rPr>
          <w:rFonts w:ascii="Arial" w:hAnsi="Arial" w:cs="Arial"/>
          <w:color w:val="auto"/>
          <w:sz w:val="22"/>
          <w:szCs w:val="22"/>
        </w:rPr>
        <w:fldChar w:fldCharType="separate"/>
      </w:r>
      <w:r>
        <w:rPr>
          <w:rFonts w:ascii="Arial" w:hAnsi="Arial" w:cs="Arial"/>
          <w:noProof/>
          <w:color w:val="auto"/>
          <w:sz w:val="22"/>
          <w:szCs w:val="22"/>
        </w:rPr>
        <w:t>2</w:t>
      </w:r>
      <w:r w:rsidRPr="00D9744C">
        <w:rPr>
          <w:rFonts w:ascii="Arial" w:hAnsi="Arial" w:cs="Arial"/>
          <w:color w:val="auto"/>
          <w:sz w:val="22"/>
          <w:szCs w:val="22"/>
        </w:rPr>
        <w:fldChar w:fldCharType="end"/>
      </w:r>
      <w:r w:rsidRPr="00D9744C">
        <w:rPr>
          <w:rFonts w:ascii="Arial" w:hAnsi="Arial" w:cs="Arial"/>
          <w:color w:val="auto"/>
          <w:sz w:val="22"/>
          <w:szCs w:val="22"/>
        </w:rPr>
        <w:t>. Población y participación porcentual por área y municipio año 2012</w:t>
      </w:r>
      <w:bookmarkEnd w:id="42"/>
    </w:p>
    <w:tbl>
      <w:tblPr>
        <w:tblW w:w="9835" w:type="dxa"/>
        <w:tblInd w:w="-20" w:type="dxa"/>
        <w:tblCellMar>
          <w:left w:w="70" w:type="dxa"/>
          <w:right w:w="70" w:type="dxa"/>
        </w:tblCellMar>
        <w:tblLook w:val="04A0" w:firstRow="1" w:lastRow="0" w:firstColumn="1" w:lastColumn="0" w:noHBand="0" w:noVBand="1"/>
      </w:tblPr>
      <w:tblGrid>
        <w:gridCol w:w="2635"/>
        <w:gridCol w:w="1287"/>
        <w:gridCol w:w="1041"/>
        <w:gridCol w:w="1272"/>
        <w:gridCol w:w="1200"/>
        <w:gridCol w:w="1473"/>
        <w:gridCol w:w="927"/>
      </w:tblGrid>
      <w:tr w:rsidR="00D9744C" w:rsidRPr="00D9744C" w:rsidTr="000E14A3">
        <w:trPr>
          <w:trHeight w:val="20"/>
        </w:trPr>
        <w:tc>
          <w:tcPr>
            <w:tcW w:w="26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Municipio</w:t>
            </w:r>
          </w:p>
        </w:tc>
        <w:tc>
          <w:tcPr>
            <w:tcW w:w="3600" w:type="dxa"/>
            <w:gridSpan w:val="3"/>
            <w:tcBorders>
              <w:top w:val="single" w:sz="4" w:space="0" w:color="auto"/>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Población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Part. (%)</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Participación por área (%)</w:t>
            </w:r>
          </w:p>
        </w:tc>
      </w:tr>
      <w:tr w:rsidR="00D9744C" w:rsidRPr="00D9744C" w:rsidTr="000E14A3">
        <w:trPr>
          <w:trHeight w:val="20"/>
        </w:trPr>
        <w:tc>
          <w:tcPr>
            <w:tcW w:w="2635" w:type="dxa"/>
            <w:vMerge/>
            <w:tcBorders>
              <w:top w:val="single" w:sz="4" w:space="0" w:color="auto"/>
              <w:left w:val="single" w:sz="4" w:space="0" w:color="auto"/>
              <w:bottom w:val="single" w:sz="4" w:space="0" w:color="auto"/>
              <w:right w:val="single" w:sz="4" w:space="0" w:color="auto"/>
            </w:tcBorders>
            <w:vAlign w:val="center"/>
            <w:hideMark/>
          </w:tcPr>
          <w:p w:rsidR="00D9744C" w:rsidRPr="00D9744C" w:rsidRDefault="00D9744C" w:rsidP="00D9744C">
            <w:pPr>
              <w:rPr>
                <w:rFonts w:ascii="Arial" w:eastAsia="Times New Roman" w:hAnsi="Arial" w:cs="Arial"/>
                <w:b/>
                <w:bCs/>
                <w:color w:val="000000"/>
                <w:sz w:val="18"/>
                <w:szCs w:val="20"/>
                <w:lang w:val="es-CO" w:eastAsia="es-CO"/>
              </w:rPr>
            </w:pP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Cabecera</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Resto</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Total</w:t>
            </w: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9744C" w:rsidRPr="00D9744C" w:rsidRDefault="00D9744C" w:rsidP="00D9744C">
            <w:pPr>
              <w:rPr>
                <w:rFonts w:ascii="Arial" w:eastAsia="Times New Roman" w:hAnsi="Arial" w:cs="Arial"/>
                <w:b/>
                <w:bCs/>
                <w:color w:val="000000"/>
                <w:sz w:val="18"/>
                <w:szCs w:val="20"/>
                <w:lang w:val="es-CO" w:eastAsia="es-CO"/>
              </w:rPr>
            </w:pP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Cabecera</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Resto</w:t>
            </w:r>
          </w:p>
        </w:tc>
      </w:tr>
      <w:tr w:rsidR="00D9744C" w:rsidRPr="00D9744C" w:rsidTr="000145B6">
        <w:trPr>
          <w:trHeight w:val="20"/>
        </w:trPr>
        <w:tc>
          <w:tcPr>
            <w:tcW w:w="26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Cartagena</w:t>
            </w:r>
          </w:p>
        </w:tc>
        <w:tc>
          <w:tcPr>
            <w:tcW w:w="128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923.414</w:t>
            </w:r>
          </w:p>
        </w:tc>
        <w:tc>
          <w:tcPr>
            <w:tcW w:w="1041"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43.689</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967.103</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47,7</w:t>
            </w:r>
          </w:p>
        </w:tc>
        <w:tc>
          <w:tcPr>
            <w:tcW w:w="1473"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95,5</w:t>
            </w:r>
          </w:p>
        </w:tc>
        <w:tc>
          <w:tcPr>
            <w:tcW w:w="92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4,5</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Achi</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3.854</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18.059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21.913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17,6</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82,4</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Altos del Rosario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7.24</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5.669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12.909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56,1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Arenal**</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4.776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12.928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17.704</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0,9</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27,0</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73,0</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Arjona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53.903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14.68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68.583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78,6</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21,4</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Arroyohondo</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6.214</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3.32</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9.534</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0,5</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65,2</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34,8</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Barranco de Loba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5.754</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11.119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16.873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0,8</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65,9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Calamar</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12.546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9.89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22.436</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55,9</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44,1</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Cantagallo</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4.005</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4.76</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8.765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0,4</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45,7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54,3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Cicuco</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7.325</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3.76</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11.085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0,5</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66,1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33,9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Córdoba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3.183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9.39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12.25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18,3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Clemencia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10.012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2.238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12.25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18,3</w:t>
            </w:r>
          </w:p>
        </w:tc>
      </w:tr>
      <w:tr w:rsidR="00D9744C" w:rsidRPr="00D9744C" w:rsidTr="000145B6">
        <w:trPr>
          <w:trHeight w:val="20"/>
        </w:trPr>
        <w:tc>
          <w:tcPr>
            <w:tcW w:w="26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 xml:space="preserve">Carmen de </w:t>
            </w:r>
            <w:r w:rsidR="001B0468" w:rsidRPr="00D9744C">
              <w:rPr>
                <w:rFonts w:ascii="Arial" w:eastAsia="Times New Roman" w:hAnsi="Arial" w:cs="Arial"/>
                <w:b/>
                <w:bCs/>
                <w:color w:val="000000"/>
                <w:sz w:val="18"/>
                <w:szCs w:val="20"/>
                <w:lang w:val="es-CO" w:eastAsia="es-CO"/>
              </w:rPr>
              <w:t>Bolívar</w:t>
            </w:r>
          </w:p>
        </w:tc>
        <w:tc>
          <w:tcPr>
            <w:tcW w:w="128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56.485</w:t>
            </w:r>
          </w:p>
        </w:tc>
        <w:tc>
          <w:tcPr>
            <w:tcW w:w="1041"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16.165</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72.65</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3,6</w:t>
            </w:r>
          </w:p>
        </w:tc>
        <w:tc>
          <w:tcPr>
            <w:tcW w:w="1473"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77,7</w:t>
            </w:r>
          </w:p>
        </w:tc>
        <w:tc>
          <w:tcPr>
            <w:tcW w:w="92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22,3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Guamo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3.451</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7.751</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0,4</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55,5</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45,5</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 xml:space="preserve">El </w:t>
            </w:r>
            <w:proofErr w:type="spellStart"/>
            <w:r w:rsidRPr="00D9744C">
              <w:rPr>
                <w:rFonts w:ascii="Arial" w:eastAsia="Times New Roman" w:hAnsi="Arial" w:cs="Arial"/>
                <w:b/>
                <w:bCs/>
                <w:color w:val="000000"/>
                <w:sz w:val="18"/>
                <w:szCs w:val="20"/>
                <w:lang w:val="es-CO" w:eastAsia="es-CO"/>
              </w:rPr>
              <w:t>Peñon</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3.537</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5.377</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8.914</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0,4</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39,7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60,3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Hatilo</w:t>
            </w:r>
            <w:proofErr w:type="spellEnd"/>
            <w:r w:rsidRPr="00D9744C">
              <w:rPr>
                <w:rFonts w:ascii="Arial" w:eastAsia="Times New Roman" w:hAnsi="Arial" w:cs="Arial"/>
                <w:b/>
                <w:bCs/>
                <w:color w:val="000000"/>
                <w:sz w:val="18"/>
                <w:szCs w:val="20"/>
                <w:lang w:val="es-CO" w:eastAsia="es-CO"/>
              </w:rPr>
              <w:t xml:space="preserve"> de Loba **</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3.282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8.506</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11.788</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27,8</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72,2</w:t>
            </w:r>
          </w:p>
        </w:tc>
      </w:tr>
      <w:tr w:rsidR="00D9744C" w:rsidRPr="00D9744C" w:rsidTr="000145B6">
        <w:trPr>
          <w:trHeight w:val="20"/>
        </w:trPr>
        <w:tc>
          <w:tcPr>
            <w:tcW w:w="26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Magangue</w:t>
            </w:r>
            <w:proofErr w:type="spellEnd"/>
          </w:p>
        </w:tc>
        <w:tc>
          <w:tcPr>
            <w:tcW w:w="128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84.551</w:t>
            </w:r>
          </w:p>
        </w:tc>
        <w:tc>
          <w:tcPr>
            <w:tcW w:w="1041"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38.761</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123.312</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6,1</w:t>
            </w:r>
          </w:p>
        </w:tc>
        <w:tc>
          <w:tcPr>
            <w:tcW w:w="1473"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68,6</w:t>
            </w:r>
          </w:p>
        </w:tc>
        <w:tc>
          <w:tcPr>
            <w:tcW w:w="92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31,4</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Mahates</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9.453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15.385</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24.838</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38,1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61,9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Margarita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1.701</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7.955</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9.656</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0,5</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17,6</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82,4</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Maria La Baja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20.108</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26.981</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47.089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2,3</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42,7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57,3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Montecristo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9.856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9.939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19.795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49,8</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50,2</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Mompós</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24.748</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18.439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43.187</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57,3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42,7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Morales</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5.543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14.735</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20.278</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72,7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Norosi</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1.755</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3.544</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5.299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0,3</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33,1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66,9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Pinillos</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2.59</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21.589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24.179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89,3</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Regifor</w:t>
            </w:r>
            <w:proofErr w:type="spellEnd"/>
            <w:r w:rsidRPr="00D9744C">
              <w:rPr>
                <w:rFonts w:ascii="Arial" w:eastAsia="Times New Roman" w:hAnsi="Arial" w:cs="Arial"/>
                <w:b/>
                <w:bCs/>
                <w:color w:val="000000"/>
                <w:sz w:val="18"/>
                <w:szCs w:val="20"/>
                <w:lang w:val="es-CO" w:eastAsia="es-CO"/>
              </w:rPr>
              <w:t xml:space="preserve"> **</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3.995</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5.942</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9.937</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0,5</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40,2</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59,8</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Rio Viejo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8.368</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8.874</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17.242</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0,9</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48,5</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51,5</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 xml:space="preserve">San </w:t>
            </w:r>
            <w:proofErr w:type="spellStart"/>
            <w:r w:rsidRPr="00D9744C">
              <w:rPr>
                <w:rFonts w:ascii="Arial" w:eastAsia="Times New Roman" w:hAnsi="Arial" w:cs="Arial"/>
                <w:b/>
                <w:bCs/>
                <w:color w:val="000000"/>
                <w:sz w:val="18"/>
                <w:szCs w:val="20"/>
                <w:lang w:val="es-CO" w:eastAsia="es-CO"/>
              </w:rPr>
              <w:t>Cristobal</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5.403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1.22</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6.623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0,3</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81,6</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18,4</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Estanislao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11.628</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4.308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15.936</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0,8</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73,0</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27,0</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Fernando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2.867</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10.599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13.466</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0,7</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78,7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Jacinto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20.412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1.057</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21.469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95,1</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4,9</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Jacinto del Cauca**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3.417</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9.167</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12.584</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27,2</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72,8</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Juan Nepomuceno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25.67</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7.452</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33.122</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77,5</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22,5</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Martin de Loba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6.872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9.331</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16.203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0,8</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42,4</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57,6</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 Pablo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26.896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4.301</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31.197</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1,5</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86,2</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13,8</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Santa Catalina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4.602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8.188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12.79</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36,0</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64,0</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Santa Rosa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13.752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7.39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21.142</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65,0</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35,0</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Santa Rosa del Sur</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19.8</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19.546</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39.346</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50,3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49,7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Simiti</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8.814</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10.673</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19.487</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45,2</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54,8</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Soplaviento</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8.162</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223</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8.385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0,4</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97,3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Talaigua</w:t>
            </w:r>
            <w:proofErr w:type="spellEnd"/>
            <w:r w:rsidRPr="00D9744C">
              <w:rPr>
                <w:rFonts w:ascii="Arial" w:eastAsia="Times New Roman" w:hAnsi="Arial" w:cs="Arial"/>
                <w:b/>
                <w:bCs/>
                <w:color w:val="000000"/>
                <w:sz w:val="18"/>
                <w:szCs w:val="20"/>
                <w:lang w:val="es-CO" w:eastAsia="es-CO"/>
              </w:rPr>
              <w:t xml:space="preserve"> Nuevo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5.211</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6.039</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11.25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46,3</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53,7</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Tiquisio</w:t>
            </w:r>
            <w:proofErr w:type="spellEnd"/>
            <w:r w:rsidRPr="00D9744C">
              <w:rPr>
                <w:rFonts w:ascii="Arial" w:eastAsia="Times New Roman" w:hAnsi="Arial" w:cs="Arial"/>
                <w:b/>
                <w:bCs/>
                <w:color w:val="000000"/>
                <w:sz w:val="18"/>
                <w:szCs w:val="20"/>
                <w:lang w:val="es-CO" w:eastAsia="es-CO"/>
              </w:rPr>
              <w:t>**</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5.506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15.368</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20.874</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26,4</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73,6</w:t>
            </w:r>
          </w:p>
        </w:tc>
      </w:tr>
      <w:tr w:rsidR="00D9744C" w:rsidRPr="00D9744C" w:rsidTr="000145B6">
        <w:trPr>
          <w:trHeight w:val="20"/>
        </w:trPr>
        <w:tc>
          <w:tcPr>
            <w:tcW w:w="26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Turbaco</w:t>
            </w:r>
            <w:proofErr w:type="spellEnd"/>
          </w:p>
        </w:tc>
        <w:tc>
          <w:tcPr>
            <w:tcW w:w="128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63.962</w:t>
            </w:r>
          </w:p>
        </w:tc>
        <w:tc>
          <w:tcPr>
            <w:tcW w:w="1041"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5.266</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69.228</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3,4</w:t>
            </w:r>
          </w:p>
        </w:tc>
        <w:tc>
          <w:tcPr>
            <w:tcW w:w="1473"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92,4</w:t>
            </w:r>
          </w:p>
        </w:tc>
        <w:tc>
          <w:tcPr>
            <w:tcW w:w="92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7,6</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proofErr w:type="spellStart"/>
            <w:r w:rsidRPr="00D9744C">
              <w:rPr>
                <w:rFonts w:ascii="Arial" w:eastAsia="Times New Roman" w:hAnsi="Arial" w:cs="Arial"/>
                <w:b/>
                <w:bCs/>
                <w:color w:val="000000"/>
                <w:sz w:val="18"/>
                <w:szCs w:val="20"/>
                <w:lang w:val="es-CO" w:eastAsia="es-CO"/>
              </w:rPr>
              <w:t>Turbana</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13.279</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1.156</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14.435</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0,7</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92,0</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8,0</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Villanueva</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17.473</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1.537</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19.01</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0,9</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91,9</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8,1</w:t>
            </w:r>
          </w:p>
        </w:tc>
      </w:tr>
      <w:tr w:rsidR="00D9744C" w:rsidRPr="00D9744C" w:rsidTr="000E14A3">
        <w:trPr>
          <w:trHeight w:val="20"/>
        </w:trPr>
        <w:tc>
          <w:tcPr>
            <w:tcW w:w="2635" w:type="dxa"/>
            <w:tcBorders>
              <w:top w:val="nil"/>
              <w:left w:val="single" w:sz="4" w:space="0" w:color="auto"/>
              <w:bottom w:val="single" w:sz="4" w:space="0" w:color="auto"/>
              <w:right w:val="single" w:sz="4" w:space="0" w:color="auto"/>
            </w:tcBorders>
            <w:shd w:val="clear" w:color="auto" w:fill="auto"/>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Zambrano</w:t>
            </w:r>
          </w:p>
        </w:tc>
        <w:tc>
          <w:tcPr>
            <w:tcW w:w="128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10.326</w:t>
            </w:r>
          </w:p>
        </w:tc>
        <w:tc>
          <w:tcPr>
            <w:tcW w:w="1041"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1.057</w:t>
            </w:r>
          </w:p>
        </w:tc>
        <w:tc>
          <w:tcPr>
            <w:tcW w:w="1272"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11.383</w:t>
            </w:r>
          </w:p>
        </w:tc>
        <w:tc>
          <w:tcPr>
            <w:tcW w:w="1200"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0,6</w:t>
            </w:r>
          </w:p>
        </w:tc>
        <w:tc>
          <w:tcPr>
            <w:tcW w:w="1473"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90,7</w:t>
            </w:r>
          </w:p>
        </w:tc>
        <w:tc>
          <w:tcPr>
            <w:tcW w:w="927" w:type="dxa"/>
            <w:tcBorders>
              <w:top w:val="nil"/>
              <w:left w:val="nil"/>
              <w:bottom w:val="single" w:sz="4" w:space="0" w:color="auto"/>
              <w:right w:val="single" w:sz="4" w:space="0" w:color="auto"/>
            </w:tcBorders>
            <w:shd w:val="clear" w:color="auto" w:fill="auto"/>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9,3</w:t>
            </w:r>
          </w:p>
        </w:tc>
      </w:tr>
      <w:tr w:rsidR="00D9744C" w:rsidRPr="00D9744C" w:rsidTr="000145B6">
        <w:trPr>
          <w:trHeight w:val="20"/>
        </w:trPr>
        <w:tc>
          <w:tcPr>
            <w:tcW w:w="26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rPr>
                <w:rFonts w:ascii="Arial" w:eastAsia="Times New Roman" w:hAnsi="Arial" w:cs="Arial"/>
                <w:b/>
                <w:bCs/>
                <w:color w:val="000000"/>
                <w:sz w:val="18"/>
                <w:szCs w:val="20"/>
                <w:lang w:val="es-CO" w:eastAsia="es-CO"/>
              </w:rPr>
            </w:pPr>
            <w:r w:rsidRPr="00D9744C">
              <w:rPr>
                <w:rFonts w:ascii="Arial" w:eastAsia="Times New Roman" w:hAnsi="Arial" w:cs="Arial"/>
                <w:b/>
                <w:bCs/>
                <w:color w:val="000000"/>
                <w:sz w:val="18"/>
                <w:szCs w:val="20"/>
                <w:lang w:val="es-CO" w:eastAsia="es-CO"/>
              </w:rPr>
              <w:t>Total</w:t>
            </w:r>
          </w:p>
        </w:tc>
        <w:tc>
          <w:tcPr>
            <w:tcW w:w="128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1.668.660</w:t>
            </w:r>
          </w:p>
        </w:tc>
        <w:tc>
          <w:tcPr>
            <w:tcW w:w="1041"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489.023</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2.026.573</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100,0</w:t>
            </w:r>
          </w:p>
        </w:tc>
        <w:tc>
          <w:tcPr>
            <w:tcW w:w="1473"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78,8</w:t>
            </w:r>
          </w:p>
        </w:tc>
        <w:tc>
          <w:tcPr>
            <w:tcW w:w="927" w:type="dxa"/>
            <w:tcBorders>
              <w:top w:val="nil"/>
              <w:left w:val="nil"/>
              <w:bottom w:val="single" w:sz="4" w:space="0" w:color="auto"/>
              <w:right w:val="single" w:sz="4" w:space="0" w:color="auto"/>
            </w:tcBorders>
            <w:shd w:val="clear" w:color="auto" w:fill="F2F2F2" w:themeFill="background1" w:themeFillShade="F2"/>
            <w:noWrap/>
            <w:vAlign w:val="center"/>
            <w:hideMark/>
          </w:tcPr>
          <w:p w:rsidR="00D9744C" w:rsidRPr="00D9744C" w:rsidRDefault="00D9744C" w:rsidP="00D9744C">
            <w:pPr>
              <w:jc w:val="center"/>
              <w:rPr>
                <w:rFonts w:ascii="Arial" w:eastAsia="Times New Roman" w:hAnsi="Arial" w:cs="Arial"/>
                <w:color w:val="000000"/>
                <w:sz w:val="18"/>
                <w:szCs w:val="20"/>
                <w:lang w:val="es-CO" w:eastAsia="es-CO"/>
              </w:rPr>
            </w:pPr>
            <w:r w:rsidRPr="00D9744C">
              <w:rPr>
                <w:rFonts w:ascii="Arial" w:eastAsia="Times New Roman" w:hAnsi="Arial" w:cs="Arial"/>
                <w:color w:val="000000"/>
                <w:sz w:val="18"/>
                <w:szCs w:val="20"/>
                <w:lang w:val="es-CO" w:eastAsia="es-CO"/>
              </w:rPr>
              <w:t>23,2</w:t>
            </w:r>
          </w:p>
        </w:tc>
      </w:tr>
    </w:tbl>
    <w:p w:rsidR="00D9744C" w:rsidRPr="00D9744C" w:rsidRDefault="00D9744C" w:rsidP="00D9744C">
      <w:pPr>
        <w:autoSpaceDE w:val="0"/>
        <w:autoSpaceDN w:val="0"/>
        <w:adjustRightInd w:val="0"/>
        <w:spacing w:after="200" w:line="276" w:lineRule="auto"/>
        <w:jc w:val="center"/>
        <w:rPr>
          <w:rFonts w:ascii="Arial" w:hAnsi="Arial" w:cs="Arial"/>
          <w:sz w:val="18"/>
          <w:szCs w:val="18"/>
          <w:lang w:val="es-CO"/>
        </w:rPr>
      </w:pPr>
      <w:r w:rsidRPr="00D9744C">
        <w:rPr>
          <w:rFonts w:ascii="Arial" w:hAnsi="Arial" w:cs="Arial"/>
          <w:sz w:val="18"/>
          <w:szCs w:val="18"/>
          <w:lang w:val="es-CO"/>
        </w:rPr>
        <w:t>Fuente: DANE – Proyecciones de población. Cálculos: Convenio 188 Ministerio del Trabajo – Fupad ** Municipios Fundados después de 1993</w:t>
      </w:r>
    </w:p>
    <w:p w:rsidR="00D9744C" w:rsidRDefault="002F78D6" w:rsidP="00D9744C">
      <w:pPr>
        <w:autoSpaceDE w:val="0"/>
        <w:autoSpaceDN w:val="0"/>
        <w:adjustRightInd w:val="0"/>
        <w:spacing w:after="200" w:line="276" w:lineRule="auto"/>
        <w:jc w:val="both"/>
        <w:rPr>
          <w:rFonts w:ascii="Arial" w:hAnsi="Arial" w:cs="Arial"/>
          <w:lang w:val="es-CO"/>
        </w:rPr>
      </w:pPr>
      <w:r>
        <w:rPr>
          <w:rFonts w:ascii="Arial" w:hAnsi="Arial" w:cs="Arial"/>
          <w:lang w:val="es-CO"/>
        </w:rPr>
        <w:t>Ahora bien, en relación con la estructura demográfica, e</w:t>
      </w:r>
      <w:r w:rsidR="00D9744C" w:rsidRPr="00D9744C">
        <w:rPr>
          <w:rFonts w:ascii="Arial" w:hAnsi="Arial" w:cs="Arial"/>
          <w:lang w:val="es-CO"/>
        </w:rPr>
        <w:t xml:space="preserve">l </w:t>
      </w:r>
      <w:r w:rsidR="00D9744C" w:rsidRPr="000E62F2">
        <w:rPr>
          <w:rFonts w:ascii="Arial" w:hAnsi="Arial" w:cs="Arial"/>
          <w:lang w:val="es-CO"/>
        </w:rPr>
        <w:t>gráfico 3</w:t>
      </w:r>
      <w:r w:rsidR="00D9744C" w:rsidRPr="00D9744C">
        <w:rPr>
          <w:rFonts w:ascii="Arial" w:hAnsi="Arial" w:cs="Arial"/>
          <w:lang w:val="es-CO"/>
        </w:rPr>
        <w:t xml:space="preserve"> muestra la pirámide poblacional para el departamento de Bolívar en los años </w:t>
      </w:r>
      <w:r>
        <w:rPr>
          <w:rFonts w:ascii="Arial" w:hAnsi="Arial" w:cs="Arial"/>
          <w:lang w:val="es-CO"/>
        </w:rPr>
        <w:t>1993</w:t>
      </w:r>
      <w:r w:rsidRPr="00D9744C">
        <w:rPr>
          <w:rFonts w:ascii="Arial" w:hAnsi="Arial" w:cs="Arial"/>
          <w:lang w:val="es-CO"/>
        </w:rPr>
        <w:t xml:space="preserve"> </w:t>
      </w:r>
      <w:r w:rsidR="00D9744C" w:rsidRPr="00D9744C">
        <w:rPr>
          <w:rFonts w:ascii="Arial" w:hAnsi="Arial" w:cs="Arial"/>
          <w:lang w:val="es-CO"/>
        </w:rPr>
        <w:t>y 2012. Es posibl</w:t>
      </w:r>
      <w:r>
        <w:rPr>
          <w:rFonts w:ascii="Arial" w:hAnsi="Arial" w:cs="Arial"/>
          <w:lang w:val="es-CO"/>
        </w:rPr>
        <w:t>e</w:t>
      </w:r>
      <w:r w:rsidR="00D9744C" w:rsidRPr="00D9744C">
        <w:rPr>
          <w:rFonts w:ascii="Arial" w:hAnsi="Arial" w:cs="Arial"/>
          <w:lang w:val="es-CO"/>
        </w:rPr>
        <w:t xml:space="preserve"> identificar un cambio relativamente pequeño, aunque significativo por grupos de edades. Eso da cuenta, por ejemplo, que para el año 1993 la mayor participación la tenía la población de 0 a 4 años (13,6%) seguido por los de 5 a 9 años (12,5%), mientras que </w:t>
      </w:r>
      <w:r w:rsidR="00D9744C" w:rsidRPr="00D9744C">
        <w:rPr>
          <w:rFonts w:ascii="Arial" w:hAnsi="Arial" w:cs="Arial"/>
          <w:lang w:val="es-CO"/>
        </w:rPr>
        <w:lastRenderedPageBreak/>
        <w:t>para el año 2012 la población se concentra más entre los años de 10 a 19 (10,12%). Este fenómeno se asocia con el comienzo de la transición demográfica en la que la base de la pirámide</w:t>
      </w:r>
      <w:r>
        <w:rPr>
          <w:rFonts w:ascii="Arial" w:hAnsi="Arial" w:cs="Arial"/>
          <w:lang w:val="es-CO"/>
        </w:rPr>
        <w:t xml:space="preserve"> </w:t>
      </w:r>
      <w:r w:rsidR="00D9744C" w:rsidRPr="00D9744C">
        <w:rPr>
          <w:rFonts w:ascii="Arial" w:hAnsi="Arial" w:cs="Arial"/>
          <w:lang w:val="es-CO"/>
        </w:rPr>
        <w:t>se reduce considerablemente mientras que los grupos en edades adultas comienzan a aumentar. No obstante, la población del Bolívar sigue presentando una estructura</w:t>
      </w:r>
      <w:r>
        <w:rPr>
          <w:rFonts w:ascii="Arial" w:hAnsi="Arial" w:cs="Arial"/>
          <w:lang w:val="es-CO"/>
        </w:rPr>
        <w:t xml:space="preserve"> </w:t>
      </w:r>
      <w:r w:rsidR="00D9744C" w:rsidRPr="00D9744C">
        <w:rPr>
          <w:rFonts w:ascii="Arial" w:hAnsi="Arial" w:cs="Arial"/>
          <w:lang w:val="es-CO"/>
        </w:rPr>
        <w:t xml:space="preserve"> joven</w:t>
      </w:r>
      <w:r>
        <w:rPr>
          <w:rFonts w:ascii="Arial" w:hAnsi="Arial" w:cs="Arial"/>
          <w:lang w:val="es-CO"/>
        </w:rPr>
        <w:t xml:space="preserve"> aún</w:t>
      </w:r>
      <w:r w:rsidR="00D9744C" w:rsidRPr="00D9744C">
        <w:rPr>
          <w:rFonts w:ascii="Arial" w:hAnsi="Arial" w:cs="Arial"/>
          <w:lang w:val="es-CO"/>
        </w:rPr>
        <w:t xml:space="preserve">. </w:t>
      </w:r>
    </w:p>
    <w:p w:rsidR="000E14A3" w:rsidRDefault="000E14A3"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pStyle w:val="Epgrafe"/>
        <w:jc w:val="center"/>
        <w:rPr>
          <w:rFonts w:ascii="Arial" w:hAnsi="Arial" w:cs="Arial"/>
          <w:color w:val="auto"/>
          <w:sz w:val="22"/>
          <w:szCs w:val="22"/>
        </w:rPr>
      </w:pPr>
      <w:bookmarkStart w:id="43" w:name="_Toc389666959"/>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3</w:t>
      </w:r>
      <w:r w:rsidRPr="00D9744C">
        <w:rPr>
          <w:rFonts w:ascii="Arial" w:hAnsi="Arial" w:cs="Arial"/>
          <w:color w:val="auto"/>
          <w:sz w:val="22"/>
          <w:szCs w:val="22"/>
        </w:rPr>
        <w:fldChar w:fldCharType="end"/>
      </w:r>
      <w:r w:rsidRPr="00D9744C">
        <w:rPr>
          <w:rFonts w:ascii="Arial" w:hAnsi="Arial" w:cs="Arial"/>
          <w:color w:val="auto"/>
          <w:sz w:val="22"/>
          <w:szCs w:val="22"/>
        </w:rPr>
        <w:t>. Habitantes por grupo de edades, pirámide poblacional 1993 – 2012</w:t>
      </w:r>
      <w:bookmarkEnd w:id="43"/>
    </w:p>
    <w:p w:rsidR="00D9744C" w:rsidRPr="00D9744C" w:rsidRDefault="00D9744C" w:rsidP="00D9744C">
      <w:pPr>
        <w:autoSpaceDE w:val="0"/>
        <w:autoSpaceDN w:val="0"/>
        <w:adjustRightInd w:val="0"/>
        <w:spacing w:after="200" w:line="276" w:lineRule="auto"/>
        <w:jc w:val="center"/>
        <w:rPr>
          <w:rFonts w:ascii="Arial" w:hAnsi="Arial" w:cs="Arial"/>
          <w:lang w:val="es-CO"/>
        </w:rPr>
      </w:pPr>
      <w:r w:rsidRPr="00D9744C">
        <w:rPr>
          <w:noProof/>
          <w:lang w:eastAsia="es-ES"/>
        </w:rPr>
        <w:drawing>
          <wp:inline distT="0" distB="0" distL="0" distR="0" wp14:anchorId="536A921F" wp14:editId="3A748B59">
            <wp:extent cx="3829050" cy="3590925"/>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744C" w:rsidRDefault="00D9744C" w:rsidP="000E14A3">
      <w:pPr>
        <w:jc w:val="center"/>
        <w:rPr>
          <w:rFonts w:ascii="Arial" w:hAnsi="Arial" w:cs="Arial"/>
          <w:sz w:val="18"/>
          <w:szCs w:val="18"/>
          <w:lang w:val="es-CO"/>
        </w:rPr>
      </w:pPr>
      <w:r w:rsidRPr="00D9744C">
        <w:rPr>
          <w:rFonts w:ascii="Arial" w:hAnsi="Arial" w:cs="Arial"/>
          <w:sz w:val="18"/>
          <w:szCs w:val="18"/>
          <w:lang w:val="es-CO"/>
        </w:rPr>
        <w:t>Fuente: DANE. Proyecciones departamentales de población a 2012 con base en el censo 2005</w:t>
      </w:r>
    </w:p>
    <w:p w:rsidR="000E14A3" w:rsidRPr="00D9744C" w:rsidRDefault="000E14A3" w:rsidP="000E14A3">
      <w:pPr>
        <w:jc w:val="center"/>
        <w:rPr>
          <w:rFonts w:ascii="Arial" w:hAnsi="Arial" w:cs="Arial"/>
          <w:sz w:val="18"/>
          <w:szCs w:val="18"/>
          <w:lang w:val="es-CO"/>
        </w:rPr>
      </w:pPr>
    </w:p>
    <w:p w:rsid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En lo que respecta a las tasas de fecundidad, el departamento de Bolívar presenta tasas más altas que el promedio nacional como se muestra en el gráfico 4. Las tasas específicas de fecundidad para el periodo 2005-2010 fueron estimadas más altas en todos los grupos, lo que está en concordancia con la estructura etaria de la población</w:t>
      </w:r>
      <w:r w:rsidR="00057BDC">
        <w:rPr>
          <w:rFonts w:ascii="Arial" w:hAnsi="Arial" w:cs="Arial"/>
          <w:lang w:val="es-CO"/>
        </w:rPr>
        <w:t>,</w:t>
      </w:r>
      <w:r w:rsidRPr="00D9744C">
        <w:rPr>
          <w:rFonts w:ascii="Arial" w:hAnsi="Arial" w:cs="Arial"/>
          <w:lang w:val="es-CO"/>
        </w:rPr>
        <w:t xml:space="preserve"> lo que debería indicar un crecimiento poblacional superior al promedio nacional, </w:t>
      </w:r>
      <w:r w:rsidR="00057BDC">
        <w:rPr>
          <w:rFonts w:ascii="Arial" w:hAnsi="Arial" w:cs="Arial"/>
          <w:lang w:val="es-CO"/>
        </w:rPr>
        <w:t>manteniendo lo demás constante.</w:t>
      </w:r>
    </w:p>
    <w:p w:rsidR="00057BDC" w:rsidRDefault="00057BDC" w:rsidP="00D9744C">
      <w:pPr>
        <w:autoSpaceDE w:val="0"/>
        <w:autoSpaceDN w:val="0"/>
        <w:adjustRightInd w:val="0"/>
        <w:spacing w:after="200" w:line="276" w:lineRule="auto"/>
        <w:jc w:val="both"/>
        <w:rPr>
          <w:rFonts w:ascii="Arial" w:hAnsi="Arial" w:cs="Arial"/>
          <w:lang w:val="es-CO"/>
        </w:rPr>
      </w:pPr>
    </w:p>
    <w:p w:rsidR="00057BDC" w:rsidRDefault="00057BDC" w:rsidP="00D9744C">
      <w:pPr>
        <w:autoSpaceDE w:val="0"/>
        <w:autoSpaceDN w:val="0"/>
        <w:adjustRightInd w:val="0"/>
        <w:spacing w:after="200" w:line="276" w:lineRule="auto"/>
        <w:jc w:val="both"/>
        <w:rPr>
          <w:rFonts w:ascii="Arial" w:hAnsi="Arial" w:cs="Arial"/>
          <w:lang w:val="es-CO"/>
        </w:rPr>
      </w:pPr>
    </w:p>
    <w:p w:rsidR="00057BDC" w:rsidRDefault="00057BDC" w:rsidP="00D9744C">
      <w:pPr>
        <w:autoSpaceDE w:val="0"/>
        <w:autoSpaceDN w:val="0"/>
        <w:adjustRightInd w:val="0"/>
        <w:spacing w:after="200" w:line="276" w:lineRule="auto"/>
        <w:jc w:val="both"/>
        <w:rPr>
          <w:rFonts w:ascii="Arial" w:hAnsi="Arial" w:cs="Arial"/>
          <w:lang w:val="es-CO"/>
        </w:rPr>
      </w:pPr>
    </w:p>
    <w:p w:rsidR="00057BDC" w:rsidRDefault="00057BDC" w:rsidP="00D9744C">
      <w:pPr>
        <w:autoSpaceDE w:val="0"/>
        <w:autoSpaceDN w:val="0"/>
        <w:adjustRightInd w:val="0"/>
        <w:spacing w:after="200" w:line="276" w:lineRule="auto"/>
        <w:jc w:val="both"/>
        <w:rPr>
          <w:rFonts w:ascii="Arial" w:hAnsi="Arial" w:cs="Arial"/>
          <w:lang w:val="es-CO"/>
        </w:rPr>
      </w:pPr>
    </w:p>
    <w:p w:rsidR="00057BDC" w:rsidRPr="00D9744C" w:rsidRDefault="00057BDC"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pStyle w:val="Epgrafe"/>
        <w:jc w:val="center"/>
        <w:rPr>
          <w:rFonts w:ascii="Arial" w:hAnsi="Arial" w:cs="Arial"/>
          <w:color w:val="auto"/>
          <w:sz w:val="22"/>
          <w:szCs w:val="22"/>
        </w:rPr>
      </w:pPr>
      <w:bookmarkStart w:id="44" w:name="_Toc389666960"/>
      <w:r w:rsidRPr="00D9744C">
        <w:rPr>
          <w:rFonts w:ascii="Arial" w:hAnsi="Arial" w:cs="Arial"/>
          <w:color w:val="auto"/>
          <w:sz w:val="22"/>
          <w:szCs w:val="22"/>
        </w:rPr>
        <w:lastRenderedPageBreak/>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4</w:t>
      </w:r>
      <w:r w:rsidRPr="00D9744C">
        <w:rPr>
          <w:rFonts w:ascii="Arial" w:hAnsi="Arial" w:cs="Arial"/>
          <w:color w:val="auto"/>
          <w:sz w:val="22"/>
          <w:szCs w:val="22"/>
        </w:rPr>
        <w:fldChar w:fldCharType="end"/>
      </w:r>
      <w:r w:rsidRPr="00D9744C">
        <w:rPr>
          <w:rFonts w:ascii="Arial" w:hAnsi="Arial" w:cs="Arial"/>
          <w:color w:val="auto"/>
          <w:sz w:val="22"/>
          <w:szCs w:val="22"/>
        </w:rPr>
        <w:t>. Bolívar y total Nacional Tasas específicas de fecundidad, 2005-2010</w:t>
      </w:r>
      <w:bookmarkEnd w:id="44"/>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r w:rsidRPr="00D9744C">
        <w:rPr>
          <w:noProof/>
          <w:lang w:eastAsia="es-ES"/>
        </w:rPr>
        <w:drawing>
          <wp:inline distT="0" distB="0" distL="0" distR="0" wp14:anchorId="2412B83D" wp14:editId="7D32CD01">
            <wp:extent cx="5322498" cy="2346385"/>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744C" w:rsidRPr="00D9744C" w:rsidRDefault="00D9744C" w:rsidP="00D9744C">
      <w:pPr>
        <w:jc w:val="center"/>
        <w:rPr>
          <w:rFonts w:ascii="Arial" w:hAnsi="Arial" w:cs="Arial"/>
          <w:sz w:val="18"/>
          <w:szCs w:val="18"/>
          <w:lang w:val="es-CO"/>
        </w:rPr>
      </w:pPr>
      <w:r w:rsidRPr="00D9744C">
        <w:rPr>
          <w:rFonts w:ascii="Arial" w:hAnsi="Arial" w:cs="Arial"/>
          <w:sz w:val="18"/>
          <w:szCs w:val="18"/>
          <w:lang w:val="es-CO"/>
        </w:rPr>
        <w:t>Fuente: DANE. Proyecciones departamentales de población a 2012 con base en el censo 2005</w:t>
      </w:r>
    </w:p>
    <w:p w:rsidR="00057BDC" w:rsidRDefault="00057BDC" w:rsidP="00D9744C">
      <w:pPr>
        <w:autoSpaceDE w:val="0"/>
        <w:autoSpaceDN w:val="0"/>
        <w:adjustRightInd w:val="0"/>
        <w:spacing w:after="200" w:line="276" w:lineRule="auto"/>
        <w:jc w:val="both"/>
        <w:rPr>
          <w:rFonts w:ascii="Arial" w:hAnsi="Arial" w:cs="Arial"/>
          <w:lang w:val="es-CO"/>
        </w:rPr>
      </w:pPr>
    </w:p>
    <w:p w:rsidR="00D9744C" w:rsidRPr="00D9744C" w:rsidRDefault="00057BDC" w:rsidP="00057BDC">
      <w:pPr>
        <w:autoSpaceDE w:val="0"/>
        <w:autoSpaceDN w:val="0"/>
        <w:adjustRightInd w:val="0"/>
        <w:spacing w:after="200" w:line="276" w:lineRule="auto"/>
        <w:jc w:val="both"/>
        <w:rPr>
          <w:rFonts w:ascii="Arial" w:hAnsi="Arial" w:cs="Arial"/>
          <w:sz w:val="18"/>
          <w:szCs w:val="16"/>
          <w:lang w:val="es-CO"/>
        </w:rPr>
      </w:pPr>
      <w:r>
        <w:rPr>
          <w:rFonts w:ascii="Arial" w:hAnsi="Arial" w:cs="Arial"/>
          <w:lang w:val="es-CO"/>
        </w:rPr>
        <w:t xml:space="preserve">En lo que atañe a la </w:t>
      </w:r>
      <w:r w:rsidR="00D9744C" w:rsidRPr="00D9744C">
        <w:rPr>
          <w:rFonts w:ascii="Arial" w:hAnsi="Arial" w:cs="Arial"/>
          <w:lang w:val="es-CO"/>
        </w:rPr>
        <w:t>dinámica migratoria del departamento</w:t>
      </w:r>
      <w:r>
        <w:rPr>
          <w:rFonts w:ascii="Arial" w:hAnsi="Arial" w:cs="Arial"/>
          <w:lang w:val="es-CO"/>
        </w:rPr>
        <w:t>, ésta</w:t>
      </w:r>
      <w:r w:rsidR="00D9744C" w:rsidRPr="00D9744C">
        <w:rPr>
          <w:rFonts w:ascii="Arial" w:hAnsi="Arial" w:cs="Arial"/>
          <w:lang w:val="es-CO"/>
        </w:rPr>
        <w:t xml:space="preserve"> muestra la otra cara del crecimiento demográfico</w:t>
      </w:r>
      <w:r>
        <w:rPr>
          <w:rFonts w:ascii="Arial" w:hAnsi="Arial" w:cs="Arial"/>
          <w:lang w:val="es-CO"/>
        </w:rPr>
        <w:t>: s</w:t>
      </w:r>
      <w:r w:rsidR="00D9744C" w:rsidRPr="00D9744C">
        <w:rPr>
          <w:rFonts w:ascii="Arial" w:hAnsi="Arial" w:cs="Arial"/>
          <w:lang w:val="es-CO"/>
        </w:rPr>
        <w:t xml:space="preserve">i bien Bolívar presenta tasas de fecundidad más altas, el crecimiento poblacional ha sido más bien bajo dado que su saldo neto migratorio es típico de una región expulsora de población, dinámica que se ha recrudecido en el último quinquenio. </w:t>
      </w:r>
    </w:p>
    <w:p w:rsidR="00D9744C" w:rsidRPr="00D9744C" w:rsidRDefault="00D9744C" w:rsidP="00D9744C">
      <w:pPr>
        <w:pStyle w:val="Epgrafe"/>
        <w:jc w:val="center"/>
        <w:rPr>
          <w:rFonts w:ascii="Arial" w:hAnsi="Arial" w:cs="Arial"/>
          <w:color w:val="auto"/>
          <w:sz w:val="22"/>
          <w:szCs w:val="22"/>
        </w:rPr>
      </w:pPr>
      <w:bookmarkStart w:id="45" w:name="_Toc389666961"/>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5</w:t>
      </w:r>
      <w:r w:rsidRPr="00D9744C">
        <w:rPr>
          <w:rFonts w:ascii="Arial" w:hAnsi="Arial" w:cs="Arial"/>
          <w:color w:val="auto"/>
          <w:sz w:val="22"/>
          <w:szCs w:val="22"/>
        </w:rPr>
        <w:fldChar w:fldCharType="end"/>
      </w:r>
      <w:r w:rsidRPr="00D9744C">
        <w:rPr>
          <w:rFonts w:ascii="Arial" w:hAnsi="Arial" w:cs="Arial"/>
          <w:color w:val="auto"/>
          <w:sz w:val="22"/>
          <w:szCs w:val="22"/>
        </w:rPr>
        <w:t>. Bolívar y total Nacional Saldo Neto Migratorio por quinquenios</w:t>
      </w:r>
      <w:bookmarkEnd w:id="45"/>
    </w:p>
    <w:p w:rsidR="00D9744C" w:rsidRPr="00D9744C" w:rsidRDefault="00D9744C" w:rsidP="00D9744C">
      <w:pPr>
        <w:autoSpaceDE w:val="0"/>
        <w:autoSpaceDN w:val="0"/>
        <w:adjustRightInd w:val="0"/>
        <w:spacing w:after="200" w:line="276" w:lineRule="auto"/>
        <w:jc w:val="center"/>
        <w:rPr>
          <w:rFonts w:ascii="Arial" w:hAnsi="Arial" w:cs="Arial"/>
          <w:sz w:val="18"/>
          <w:szCs w:val="16"/>
        </w:rPr>
      </w:pPr>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r w:rsidRPr="00D9744C">
        <w:rPr>
          <w:noProof/>
          <w:lang w:eastAsia="es-ES"/>
        </w:rPr>
        <w:drawing>
          <wp:inline distT="0" distB="0" distL="0" distR="0" wp14:anchorId="20EF9F31" wp14:editId="23BAEFFF">
            <wp:extent cx="4572000" cy="3119438"/>
            <wp:effectExtent l="0" t="0" r="19050" b="2413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744C" w:rsidRPr="00D9744C" w:rsidRDefault="00D9744C" w:rsidP="00D9744C">
      <w:pPr>
        <w:jc w:val="center"/>
        <w:rPr>
          <w:rFonts w:ascii="Arial" w:hAnsi="Arial" w:cs="Arial"/>
          <w:sz w:val="18"/>
          <w:szCs w:val="18"/>
          <w:lang w:val="es-CO"/>
        </w:rPr>
      </w:pPr>
      <w:r w:rsidRPr="00D9744C">
        <w:rPr>
          <w:rFonts w:ascii="Arial" w:hAnsi="Arial" w:cs="Arial"/>
          <w:sz w:val="18"/>
          <w:szCs w:val="18"/>
          <w:lang w:val="es-CO"/>
        </w:rPr>
        <w:t>Fuente: DANE. Proyecciones departamentales de población a 2012 con base en el censo 2005</w:t>
      </w:r>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lastRenderedPageBreak/>
        <w:t xml:space="preserve">En lo que se refiere a la distribución de la población por grupos étnicos según datos del DANE del último censo poblacional, en el departamento de Bolívar hay una importante presencia de población afrocolombiana, con el 27,02%. La presencia de población indígena es inferior, </w:t>
      </w:r>
      <w:r w:rsidR="00057BDC">
        <w:rPr>
          <w:rFonts w:ascii="Arial" w:hAnsi="Arial" w:cs="Arial"/>
          <w:lang w:val="es-CO"/>
        </w:rPr>
        <w:t xml:space="preserve">representando solamente </w:t>
      </w:r>
      <w:r w:rsidRPr="00D9744C">
        <w:rPr>
          <w:rFonts w:ascii="Arial" w:hAnsi="Arial" w:cs="Arial"/>
          <w:lang w:val="es-CO"/>
        </w:rPr>
        <w:t xml:space="preserve">el 0,11%. </w:t>
      </w:r>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p>
    <w:p w:rsidR="00D9744C" w:rsidRDefault="00D9744C" w:rsidP="00DC6E74">
      <w:pPr>
        <w:pStyle w:val="Ttulo2"/>
        <w:numPr>
          <w:ilvl w:val="1"/>
          <w:numId w:val="37"/>
        </w:numPr>
        <w:spacing w:before="0" w:line="276" w:lineRule="auto"/>
        <w:rPr>
          <w:rFonts w:ascii="Arial" w:eastAsia="Times New Roman" w:hAnsi="Arial" w:cs="Arial"/>
          <w:color w:val="C00000"/>
          <w:sz w:val="22"/>
          <w:szCs w:val="22"/>
        </w:rPr>
      </w:pPr>
      <w:bookmarkStart w:id="46" w:name="_Toc383790152"/>
      <w:bookmarkStart w:id="47" w:name="_Toc384367618"/>
      <w:bookmarkStart w:id="48" w:name="_Toc385315685"/>
      <w:bookmarkStart w:id="49" w:name="_Toc385418223"/>
      <w:bookmarkStart w:id="50" w:name="_Toc386007244"/>
      <w:bookmarkStart w:id="51" w:name="_Toc389666620"/>
      <w:r w:rsidRPr="00661885">
        <w:rPr>
          <w:rFonts w:ascii="Arial" w:eastAsia="Times New Roman" w:hAnsi="Arial" w:cs="Arial"/>
          <w:color w:val="C00000"/>
          <w:sz w:val="22"/>
          <w:szCs w:val="22"/>
        </w:rPr>
        <w:t xml:space="preserve">Entorno </w:t>
      </w:r>
      <w:r w:rsidR="00B60F12" w:rsidRPr="00661885">
        <w:rPr>
          <w:rFonts w:ascii="Arial" w:eastAsia="Times New Roman" w:hAnsi="Arial" w:cs="Arial"/>
          <w:color w:val="C00000"/>
          <w:sz w:val="22"/>
          <w:szCs w:val="22"/>
        </w:rPr>
        <w:t>socio</w:t>
      </w:r>
      <w:r w:rsidRPr="00661885">
        <w:rPr>
          <w:rFonts w:ascii="Arial" w:eastAsia="Times New Roman" w:hAnsi="Arial" w:cs="Arial"/>
          <w:color w:val="C00000"/>
          <w:sz w:val="22"/>
          <w:szCs w:val="22"/>
        </w:rPr>
        <w:t>económico</w:t>
      </w:r>
      <w:bookmarkEnd w:id="46"/>
      <w:bookmarkEnd w:id="47"/>
      <w:bookmarkEnd w:id="48"/>
      <w:bookmarkEnd w:id="49"/>
      <w:bookmarkEnd w:id="50"/>
      <w:bookmarkEnd w:id="51"/>
    </w:p>
    <w:p w:rsidR="00661885" w:rsidRPr="00661885" w:rsidRDefault="00661885" w:rsidP="00661885"/>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El comportamiento de la economía del departamento de Bolívar, visto a través de la tasa de crecimiento del PIB departamental, sigue de cerca la tendencia nacional, con algunas importantes desviaciones</w:t>
      </w:r>
      <w:r w:rsidR="00B60F12">
        <w:rPr>
          <w:rFonts w:ascii="Arial" w:hAnsi="Arial" w:cs="Arial"/>
          <w:lang w:val="es-CO"/>
        </w:rPr>
        <w:t xml:space="preserve">, en el periodo 2003-2012 se presentaron con </w:t>
      </w:r>
      <w:r w:rsidRPr="00D9744C">
        <w:rPr>
          <w:rFonts w:ascii="Arial" w:hAnsi="Arial" w:cs="Arial"/>
          <w:lang w:val="es-CO"/>
        </w:rPr>
        <w:t>tasa</w:t>
      </w:r>
      <w:r w:rsidR="00B60F12">
        <w:rPr>
          <w:rFonts w:ascii="Arial" w:hAnsi="Arial" w:cs="Arial"/>
          <w:lang w:val="es-CO"/>
        </w:rPr>
        <w:t>s</w:t>
      </w:r>
      <w:r w:rsidRPr="00D9744C">
        <w:rPr>
          <w:rFonts w:ascii="Arial" w:hAnsi="Arial" w:cs="Arial"/>
          <w:lang w:val="es-CO"/>
        </w:rPr>
        <w:t xml:space="preserve"> de crecimiento por encima del promedio nacional</w:t>
      </w:r>
      <w:r w:rsidR="00B60F12">
        <w:rPr>
          <w:rFonts w:ascii="Arial" w:hAnsi="Arial" w:cs="Arial"/>
          <w:lang w:val="es-CO"/>
        </w:rPr>
        <w:t>; s</w:t>
      </w:r>
      <w:r w:rsidRPr="00D9744C">
        <w:rPr>
          <w:rFonts w:ascii="Arial" w:hAnsi="Arial" w:cs="Arial"/>
          <w:lang w:val="es-CO"/>
        </w:rPr>
        <w:t xml:space="preserve">obresalen los años 2003 y 2011 en los que la tasa fue notoriamente mayor a la nacional. Si bien el crecimiento sigue la tendencia nacional, en el año 2005 hubo una fuerte contracción de la economía del Bolívar que no obedeció a la dinámica de la economía nacional. </w:t>
      </w:r>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Otro</w:t>
      </w:r>
      <w:r w:rsidR="00B60F12">
        <w:rPr>
          <w:rFonts w:ascii="Arial" w:hAnsi="Arial" w:cs="Arial"/>
          <w:lang w:val="es-CO"/>
        </w:rPr>
        <w:t xml:space="preserve">s años que vale la pena resaltar son </w:t>
      </w:r>
      <w:r w:rsidRPr="00D9744C">
        <w:rPr>
          <w:rFonts w:ascii="Arial" w:hAnsi="Arial" w:cs="Arial"/>
          <w:lang w:val="es-CO"/>
        </w:rPr>
        <w:t>2008, 2009 y 2010 en los que se dio una moderación del crecimiento económico nacional y que fue seguida por el departamento. Precisamente en el año 2009 se dio de nuevo una contracción de la economía.</w:t>
      </w:r>
    </w:p>
    <w:p w:rsidR="00D9744C" w:rsidRPr="00D9744C" w:rsidRDefault="00D9744C" w:rsidP="00D9744C">
      <w:pPr>
        <w:pStyle w:val="Epgrafe"/>
        <w:jc w:val="center"/>
        <w:rPr>
          <w:rFonts w:ascii="Arial" w:hAnsi="Arial" w:cs="Arial"/>
          <w:color w:val="auto"/>
          <w:sz w:val="22"/>
          <w:szCs w:val="22"/>
        </w:rPr>
      </w:pPr>
      <w:bookmarkStart w:id="52" w:name="_Toc389666962"/>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6</w:t>
      </w:r>
      <w:r w:rsidRPr="00D9744C">
        <w:rPr>
          <w:rFonts w:ascii="Arial" w:hAnsi="Arial" w:cs="Arial"/>
          <w:color w:val="auto"/>
          <w:sz w:val="22"/>
          <w:szCs w:val="22"/>
        </w:rPr>
        <w:fldChar w:fldCharType="end"/>
      </w:r>
      <w:r w:rsidRPr="00D9744C">
        <w:rPr>
          <w:rFonts w:ascii="Arial" w:hAnsi="Arial" w:cs="Arial"/>
          <w:color w:val="auto"/>
          <w:sz w:val="22"/>
          <w:szCs w:val="22"/>
        </w:rPr>
        <w:t>. Tasa de crecimiento económico en Colombia y Bolívar a precios constantes 2005, años 2001- 2011</w:t>
      </w:r>
      <w:bookmarkEnd w:id="52"/>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r w:rsidRPr="00D9744C">
        <w:rPr>
          <w:rFonts w:ascii="Arial" w:hAnsi="Arial" w:cs="Arial"/>
          <w:noProof/>
          <w:sz w:val="18"/>
          <w:szCs w:val="16"/>
          <w:lang w:eastAsia="es-ES"/>
        </w:rPr>
        <w:drawing>
          <wp:inline distT="0" distB="0" distL="0" distR="0" wp14:anchorId="5595D144" wp14:editId="6F8A106A">
            <wp:extent cx="5968365" cy="2755900"/>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8365" cy="2755900"/>
                    </a:xfrm>
                    <a:prstGeom prst="rect">
                      <a:avLst/>
                    </a:prstGeom>
                    <a:noFill/>
                  </pic:spPr>
                </pic:pic>
              </a:graphicData>
            </a:graphic>
          </wp:inline>
        </w:drawing>
      </w:r>
    </w:p>
    <w:p w:rsidR="00D9744C" w:rsidRPr="00D9744C" w:rsidRDefault="00D9744C" w:rsidP="00D9744C">
      <w:pPr>
        <w:tabs>
          <w:tab w:val="left" w:pos="1275"/>
          <w:tab w:val="center" w:pos="4249"/>
        </w:tabs>
        <w:spacing w:line="276" w:lineRule="auto"/>
        <w:rPr>
          <w:rFonts w:ascii="Arial" w:hAnsi="Arial"/>
          <w:sz w:val="18"/>
          <w:szCs w:val="18"/>
          <w:lang w:val="es-CO"/>
        </w:rPr>
      </w:pPr>
      <w:r w:rsidRPr="00D9744C">
        <w:rPr>
          <w:rFonts w:ascii="Arial" w:hAnsi="Arial"/>
          <w:sz w:val="18"/>
          <w:szCs w:val="18"/>
          <w:lang w:val="es-CO"/>
        </w:rPr>
        <w:tab/>
      </w:r>
      <w:r w:rsidRPr="00D9744C">
        <w:rPr>
          <w:rFonts w:ascii="Arial" w:hAnsi="Arial"/>
          <w:sz w:val="18"/>
          <w:szCs w:val="18"/>
          <w:lang w:val="es-CO"/>
        </w:rPr>
        <w:tab/>
        <w:t>Fuente: DANE</w:t>
      </w:r>
      <w:r w:rsidRPr="00D9744C">
        <w:rPr>
          <w:rFonts w:ascii="Arial" w:hAnsi="Arial" w:cs="Arial"/>
          <w:sz w:val="18"/>
          <w:szCs w:val="18"/>
          <w:lang w:val="es-CO"/>
        </w:rPr>
        <w:t xml:space="preserve">. </w:t>
      </w:r>
      <w:r w:rsidRPr="00D9744C">
        <w:rPr>
          <w:rFonts w:ascii="Arial" w:hAnsi="Arial"/>
          <w:sz w:val="18"/>
          <w:szCs w:val="18"/>
          <w:lang w:val="es-CO"/>
        </w:rPr>
        <w:t>Cuentas departamentales</w:t>
      </w:r>
      <w:r w:rsidRPr="00D9744C">
        <w:rPr>
          <w:rFonts w:ascii="Arial" w:hAnsi="Arial" w:cs="Arial"/>
          <w:sz w:val="18"/>
          <w:szCs w:val="18"/>
          <w:lang w:val="es-CO"/>
        </w:rPr>
        <w:t xml:space="preserve">, </w:t>
      </w:r>
      <w:r w:rsidRPr="00D9744C">
        <w:rPr>
          <w:rFonts w:ascii="Arial" w:hAnsi="Arial"/>
          <w:sz w:val="18"/>
          <w:szCs w:val="18"/>
          <w:lang w:val="es-CO"/>
        </w:rPr>
        <w:t>2013</w:t>
      </w:r>
    </w:p>
    <w:p w:rsidR="00D9744C" w:rsidRPr="00D9744C" w:rsidRDefault="00D9744C" w:rsidP="00D9744C">
      <w:pPr>
        <w:autoSpaceDE w:val="0"/>
        <w:autoSpaceDN w:val="0"/>
        <w:adjustRightInd w:val="0"/>
        <w:spacing w:after="200" w:line="276" w:lineRule="auto"/>
        <w:jc w:val="center"/>
        <w:rPr>
          <w:rFonts w:ascii="Arial" w:hAnsi="Arial" w:cs="Arial"/>
          <w:sz w:val="18"/>
          <w:szCs w:val="16"/>
          <w:lang w:val="es-CO"/>
        </w:rPr>
      </w:pPr>
    </w:p>
    <w:p w:rsid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De acuerdo con el peso de la economía del departamento en el total nacional, como se muestra en el gráfico 7, Bolívar ocupa el octavo puesto en términos de su contribución al PIB naciona</w:t>
      </w:r>
      <w:r w:rsidR="001D7E55">
        <w:rPr>
          <w:rFonts w:ascii="Arial" w:hAnsi="Arial" w:cs="Arial"/>
          <w:lang w:val="es-CO"/>
        </w:rPr>
        <w:t>l</w:t>
      </w:r>
      <w:r w:rsidR="00AE1F0E">
        <w:rPr>
          <w:rFonts w:ascii="Arial" w:hAnsi="Arial" w:cs="Arial"/>
          <w:lang w:val="es-CO"/>
        </w:rPr>
        <w:t>, pues</w:t>
      </w:r>
      <w:r w:rsidRPr="00D9744C">
        <w:rPr>
          <w:rFonts w:ascii="Arial" w:hAnsi="Arial" w:cs="Arial"/>
          <w:lang w:val="es-CO"/>
        </w:rPr>
        <w:t xml:space="preserve"> contribuye al PIB nacional con el </w:t>
      </w:r>
      <w:r w:rsidR="00C74A77">
        <w:rPr>
          <w:rFonts w:ascii="Arial" w:hAnsi="Arial" w:cs="Arial"/>
          <w:lang w:val="es-CO"/>
        </w:rPr>
        <w:t>3</w:t>
      </w:r>
      <w:r w:rsidRPr="00D9744C">
        <w:rPr>
          <w:rFonts w:ascii="Arial" w:hAnsi="Arial" w:cs="Arial"/>
          <w:lang w:val="es-CO"/>
        </w:rPr>
        <w:t xml:space="preserve">,8%, con </w:t>
      </w:r>
      <w:r w:rsidR="00AE1F0E">
        <w:rPr>
          <w:rFonts w:ascii="Arial" w:hAnsi="Arial" w:cs="Arial"/>
          <w:lang w:val="es-CO"/>
        </w:rPr>
        <w:t>un aporte</w:t>
      </w:r>
      <w:r w:rsidRPr="00D9744C">
        <w:rPr>
          <w:rFonts w:ascii="Arial" w:hAnsi="Arial" w:cs="Arial"/>
          <w:lang w:val="es-CO"/>
        </w:rPr>
        <w:t xml:space="preserve"> similar a</w:t>
      </w:r>
      <w:r w:rsidR="00AE1F0E">
        <w:rPr>
          <w:rFonts w:ascii="Arial" w:hAnsi="Arial" w:cs="Arial"/>
          <w:lang w:val="es-CO"/>
        </w:rPr>
        <w:t xml:space="preserve">l </w:t>
      </w:r>
      <w:r w:rsidR="001D7E55">
        <w:rPr>
          <w:rFonts w:ascii="Arial" w:hAnsi="Arial" w:cs="Arial"/>
          <w:lang w:val="es-CO"/>
        </w:rPr>
        <w:t>del</w:t>
      </w:r>
      <w:r w:rsidR="00C74A77">
        <w:rPr>
          <w:rFonts w:ascii="Arial" w:hAnsi="Arial" w:cs="Arial"/>
          <w:lang w:val="es-CO"/>
        </w:rPr>
        <w:t xml:space="preserve"> </w:t>
      </w:r>
      <w:r w:rsidR="00C74A77" w:rsidRPr="00D9744C">
        <w:rPr>
          <w:rFonts w:ascii="Arial" w:hAnsi="Arial" w:cs="Arial"/>
          <w:lang w:val="es-CO"/>
        </w:rPr>
        <w:t xml:space="preserve"> </w:t>
      </w:r>
      <w:r w:rsidRPr="00D9744C">
        <w:rPr>
          <w:rFonts w:ascii="Arial" w:hAnsi="Arial" w:cs="Arial"/>
          <w:lang w:val="es-CO"/>
        </w:rPr>
        <w:t>departamento de</w:t>
      </w:r>
      <w:r w:rsidR="00C74A77">
        <w:rPr>
          <w:rFonts w:ascii="Arial" w:hAnsi="Arial" w:cs="Arial"/>
          <w:lang w:val="es-CO"/>
        </w:rPr>
        <w:t>l</w:t>
      </w:r>
      <w:r w:rsidRPr="00D9744C">
        <w:rPr>
          <w:rFonts w:ascii="Arial" w:hAnsi="Arial" w:cs="Arial"/>
          <w:lang w:val="es-CO"/>
        </w:rPr>
        <w:t xml:space="preserve"> Atlántico</w:t>
      </w:r>
      <w:r w:rsidR="00C74A77">
        <w:rPr>
          <w:rFonts w:ascii="Arial" w:hAnsi="Arial" w:cs="Arial"/>
          <w:lang w:val="es-CO"/>
        </w:rPr>
        <w:t>.</w:t>
      </w:r>
    </w:p>
    <w:p w:rsidR="00AE1F0E" w:rsidRPr="00D9744C" w:rsidRDefault="00AE1F0E"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pStyle w:val="Epgrafe"/>
        <w:jc w:val="center"/>
        <w:rPr>
          <w:rFonts w:ascii="Arial" w:hAnsi="Arial" w:cs="Arial"/>
          <w:color w:val="auto"/>
          <w:sz w:val="22"/>
          <w:szCs w:val="22"/>
        </w:rPr>
      </w:pPr>
      <w:bookmarkStart w:id="53" w:name="_Toc389666963"/>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7</w:t>
      </w:r>
      <w:r w:rsidRPr="00D9744C">
        <w:rPr>
          <w:rFonts w:ascii="Arial" w:hAnsi="Arial" w:cs="Arial"/>
          <w:color w:val="auto"/>
          <w:sz w:val="22"/>
          <w:szCs w:val="22"/>
        </w:rPr>
        <w:fldChar w:fldCharType="end"/>
      </w:r>
      <w:r w:rsidRPr="00D9744C">
        <w:rPr>
          <w:rFonts w:ascii="Arial" w:hAnsi="Arial" w:cs="Arial"/>
          <w:color w:val="auto"/>
          <w:sz w:val="22"/>
          <w:szCs w:val="22"/>
        </w:rPr>
        <w:t>. Participación del Bolívar en el PIB nacional</w:t>
      </w:r>
      <w:bookmarkEnd w:id="53"/>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noProof/>
          <w:lang w:eastAsia="es-ES"/>
        </w:rPr>
        <w:drawing>
          <wp:inline distT="0" distB="0" distL="0" distR="0" wp14:anchorId="1EA4B63C" wp14:editId="2FEFDBB6">
            <wp:extent cx="5612130" cy="3364230"/>
            <wp:effectExtent l="0" t="0" r="7620" b="762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744C" w:rsidRPr="00D9744C" w:rsidRDefault="00D9744C" w:rsidP="00D9744C">
      <w:pPr>
        <w:tabs>
          <w:tab w:val="left" w:pos="1275"/>
          <w:tab w:val="center" w:pos="4249"/>
        </w:tabs>
        <w:spacing w:line="276" w:lineRule="auto"/>
        <w:rPr>
          <w:rFonts w:ascii="Arial" w:hAnsi="Arial"/>
          <w:sz w:val="18"/>
          <w:szCs w:val="18"/>
          <w:lang w:val="es-CO"/>
        </w:rPr>
      </w:pPr>
      <w:r w:rsidRPr="00D9744C">
        <w:rPr>
          <w:rFonts w:ascii="Arial" w:hAnsi="Arial"/>
          <w:sz w:val="18"/>
          <w:szCs w:val="18"/>
          <w:lang w:val="es-CO"/>
        </w:rPr>
        <w:tab/>
      </w:r>
      <w:r w:rsidRPr="00D9744C">
        <w:rPr>
          <w:rFonts w:ascii="Arial" w:hAnsi="Arial"/>
          <w:sz w:val="18"/>
          <w:szCs w:val="18"/>
          <w:lang w:val="es-CO"/>
        </w:rPr>
        <w:tab/>
        <w:t>Fuente: DANE</w:t>
      </w:r>
      <w:r w:rsidRPr="00D9744C">
        <w:rPr>
          <w:rFonts w:ascii="Arial" w:hAnsi="Arial" w:cs="Arial"/>
          <w:sz w:val="18"/>
          <w:szCs w:val="18"/>
          <w:lang w:val="es-CO"/>
        </w:rPr>
        <w:t xml:space="preserve">. </w:t>
      </w:r>
      <w:r w:rsidRPr="00D9744C">
        <w:rPr>
          <w:rFonts w:ascii="Arial" w:hAnsi="Arial"/>
          <w:sz w:val="18"/>
          <w:szCs w:val="18"/>
          <w:lang w:val="es-CO"/>
        </w:rPr>
        <w:t>Cuentas departamentales</w:t>
      </w:r>
      <w:r w:rsidRPr="00D9744C">
        <w:rPr>
          <w:rFonts w:ascii="Arial" w:hAnsi="Arial" w:cs="Arial"/>
          <w:sz w:val="18"/>
          <w:szCs w:val="18"/>
          <w:lang w:val="es-CO"/>
        </w:rPr>
        <w:t xml:space="preserve">, </w:t>
      </w:r>
      <w:r w:rsidRPr="00D9744C">
        <w:rPr>
          <w:rFonts w:ascii="Arial" w:hAnsi="Arial"/>
          <w:sz w:val="18"/>
          <w:szCs w:val="18"/>
          <w:lang w:val="es-CO"/>
        </w:rPr>
        <w:t>2013</w:t>
      </w:r>
    </w:p>
    <w:p w:rsidR="00D9744C" w:rsidRPr="00D9744C" w:rsidRDefault="00D9744C" w:rsidP="00D9744C">
      <w:pPr>
        <w:autoSpaceDE w:val="0"/>
        <w:autoSpaceDN w:val="0"/>
        <w:adjustRightInd w:val="0"/>
        <w:spacing w:after="200" w:line="276" w:lineRule="auto"/>
        <w:jc w:val="center"/>
        <w:rPr>
          <w:rFonts w:ascii="Arial" w:hAnsi="Arial" w:cs="Arial"/>
          <w:sz w:val="20"/>
          <w:szCs w:val="16"/>
          <w:lang w:val="es-CO"/>
        </w:rPr>
      </w:pPr>
    </w:p>
    <w:p w:rsidR="00D9744C" w:rsidRPr="00D9744C" w:rsidRDefault="00D9744C" w:rsidP="00D9744C">
      <w:pPr>
        <w:autoSpaceDE w:val="0"/>
        <w:autoSpaceDN w:val="0"/>
        <w:adjustRightInd w:val="0"/>
        <w:spacing w:after="200" w:line="276" w:lineRule="auto"/>
        <w:jc w:val="both"/>
        <w:rPr>
          <w:rFonts w:ascii="Arial" w:hAnsi="Arial" w:cs="Arial"/>
          <w:b/>
          <w:bCs/>
          <w:szCs w:val="28"/>
          <w:lang w:val="es-CO"/>
        </w:rPr>
      </w:pPr>
      <w:r w:rsidRPr="00D9744C">
        <w:rPr>
          <w:rFonts w:ascii="Arial" w:hAnsi="Arial" w:cs="Arial"/>
          <w:b/>
          <w:bCs/>
          <w:szCs w:val="28"/>
          <w:lang w:val="es-CO"/>
        </w:rPr>
        <w:t>Distribución dinámica sectorial del PIB departamental</w:t>
      </w:r>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Al analizar la participación porcentual del valor agregado del departamento por grande</w:t>
      </w:r>
      <w:r w:rsidR="001B0468">
        <w:rPr>
          <w:rFonts w:ascii="Arial" w:hAnsi="Arial" w:cs="Arial"/>
          <w:lang w:val="es-CO"/>
        </w:rPr>
        <w:t>s ramas de actividad (</w:t>
      </w:r>
      <w:r w:rsidR="001B0468" w:rsidRPr="000E62F2">
        <w:rPr>
          <w:rFonts w:ascii="Arial" w:hAnsi="Arial" w:cs="Arial"/>
          <w:lang w:val="es-CO"/>
        </w:rPr>
        <w:t>gráfico 8</w:t>
      </w:r>
      <w:r w:rsidRPr="00D6540F">
        <w:rPr>
          <w:rFonts w:ascii="Arial" w:hAnsi="Arial" w:cs="Arial"/>
          <w:lang w:val="es-CO"/>
        </w:rPr>
        <w:t>), en</w:t>
      </w:r>
      <w:r w:rsidRPr="00D9744C">
        <w:rPr>
          <w:rFonts w:ascii="Arial" w:hAnsi="Arial" w:cs="Arial"/>
          <w:lang w:val="es-CO"/>
        </w:rPr>
        <w:t xml:space="preserve"> el año 2011 a precios constantes se observa que las participaciones del valor agregado por grandes ramas de actividad se distribuyen de la siguiente forma: industrias manufactureras (27,3%), administración pública, educación, salud y recreación (15,8%), financiero, actividades inmobiliarias y servicios a las empresas (14,3%), comercio, restaurantes y hoteles (11,0%), transporte, almacenamiento y comunicaciones (9,3%), construcción (8,7%), agropecuario (6,0%), explotación de minas y canteras (3,6) y suministro de electricidad, gas y agua (3,9%).</w:t>
      </w:r>
    </w:p>
    <w:p w:rsidR="000170E5" w:rsidRPr="00D9744C" w:rsidRDefault="000170E5" w:rsidP="000170E5">
      <w:pPr>
        <w:autoSpaceDE w:val="0"/>
        <w:autoSpaceDN w:val="0"/>
        <w:adjustRightInd w:val="0"/>
        <w:spacing w:after="200" w:line="276" w:lineRule="auto"/>
        <w:jc w:val="both"/>
        <w:rPr>
          <w:rFonts w:ascii="Arial" w:hAnsi="Arial" w:cs="Arial"/>
          <w:b/>
          <w:bCs/>
          <w:szCs w:val="28"/>
          <w:lang w:val="es-CO"/>
        </w:rPr>
      </w:pPr>
      <w:r w:rsidRPr="00D9744C">
        <w:rPr>
          <w:rFonts w:ascii="Arial" w:hAnsi="Arial" w:cs="Arial"/>
          <w:b/>
          <w:bCs/>
          <w:szCs w:val="28"/>
          <w:lang w:val="es-CO"/>
        </w:rPr>
        <w:t>Principales sectores económicos</w:t>
      </w:r>
    </w:p>
    <w:p w:rsidR="000170E5" w:rsidRPr="00D9744C" w:rsidRDefault="000170E5" w:rsidP="000170E5">
      <w:pPr>
        <w:autoSpaceDE w:val="0"/>
        <w:autoSpaceDN w:val="0"/>
        <w:adjustRightInd w:val="0"/>
        <w:spacing w:after="200" w:line="276" w:lineRule="auto"/>
        <w:jc w:val="both"/>
        <w:rPr>
          <w:rFonts w:ascii="Arial" w:hAnsi="Arial" w:cs="Arial"/>
          <w:lang w:val="es-CO"/>
        </w:rPr>
      </w:pPr>
      <w:r w:rsidRPr="00D9744C">
        <w:rPr>
          <w:rFonts w:ascii="Arial" w:hAnsi="Arial" w:cs="Arial"/>
          <w:lang w:val="es-CO"/>
        </w:rPr>
        <w:t>Teniendo en cuenta algunas consideraciones del perfil del departamento de Bolívar elaborado por el Ministerio de Comercio, Industria y Turismo</w:t>
      </w:r>
      <w:r>
        <w:rPr>
          <w:rFonts w:ascii="Arial" w:hAnsi="Arial" w:cs="Arial"/>
          <w:lang w:val="es-CO"/>
        </w:rPr>
        <w:t xml:space="preserve">, y </w:t>
      </w:r>
      <w:r w:rsidRPr="00D6540F">
        <w:rPr>
          <w:rFonts w:ascii="Arial" w:hAnsi="Arial" w:cs="Arial"/>
          <w:lang w:val="es-CO"/>
        </w:rPr>
        <w:t>el gráfico</w:t>
      </w:r>
      <w:r w:rsidR="006D50CD" w:rsidRPr="000E62F2">
        <w:rPr>
          <w:rFonts w:ascii="Arial" w:hAnsi="Arial" w:cs="Arial"/>
          <w:lang w:val="es-CO"/>
        </w:rPr>
        <w:t xml:space="preserve"> 8</w:t>
      </w:r>
      <w:r w:rsidRPr="00D9744C">
        <w:rPr>
          <w:rFonts w:ascii="Arial" w:hAnsi="Arial" w:cs="Arial"/>
          <w:lang w:val="es-CO"/>
        </w:rPr>
        <w:t xml:space="preserve"> se puede inferir que dentro de los sectores económicos representativos para el departamento en el 2011 están: </w:t>
      </w:r>
    </w:p>
    <w:p w:rsidR="000E14A3" w:rsidRDefault="000E14A3" w:rsidP="00D9744C">
      <w:pPr>
        <w:autoSpaceDE w:val="0"/>
        <w:autoSpaceDN w:val="0"/>
        <w:adjustRightInd w:val="0"/>
        <w:spacing w:after="200" w:line="276" w:lineRule="auto"/>
        <w:jc w:val="both"/>
        <w:rPr>
          <w:rFonts w:ascii="Arial" w:hAnsi="Arial" w:cs="Arial"/>
          <w:lang w:val="es-CO"/>
        </w:rPr>
      </w:pPr>
    </w:p>
    <w:p w:rsidR="000E14A3" w:rsidRDefault="000E14A3" w:rsidP="00D9744C">
      <w:pPr>
        <w:autoSpaceDE w:val="0"/>
        <w:autoSpaceDN w:val="0"/>
        <w:adjustRightInd w:val="0"/>
        <w:spacing w:after="200" w:line="276" w:lineRule="auto"/>
        <w:jc w:val="both"/>
        <w:rPr>
          <w:rFonts w:ascii="Arial" w:hAnsi="Arial" w:cs="Arial"/>
          <w:lang w:val="es-CO"/>
        </w:rPr>
      </w:pPr>
    </w:p>
    <w:p w:rsidR="000E14A3" w:rsidRPr="00D9744C" w:rsidRDefault="000E14A3" w:rsidP="00D9744C">
      <w:pPr>
        <w:autoSpaceDE w:val="0"/>
        <w:autoSpaceDN w:val="0"/>
        <w:adjustRightInd w:val="0"/>
        <w:spacing w:after="200" w:line="276" w:lineRule="auto"/>
        <w:jc w:val="both"/>
        <w:rPr>
          <w:rFonts w:ascii="Arial" w:hAnsi="Arial" w:cs="Arial"/>
          <w:lang w:val="es-CO"/>
        </w:rPr>
      </w:pPr>
    </w:p>
    <w:p w:rsidR="00D9744C" w:rsidRPr="00D9744C" w:rsidRDefault="00D9744C" w:rsidP="00D9744C">
      <w:pPr>
        <w:pStyle w:val="Epgrafe"/>
        <w:jc w:val="center"/>
        <w:rPr>
          <w:rFonts w:ascii="Arial" w:hAnsi="Arial" w:cs="Arial"/>
          <w:color w:val="auto"/>
          <w:sz w:val="22"/>
          <w:szCs w:val="22"/>
        </w:rPr>
      </w:pPr>
      <w:bookmarkStart w:id="54" w:name="_Toc389666964"/>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Pr>
          <w:rFonts w:ascii="Arial" w:hAnsi="Arial" w:cs="Arial"/>
          <w:noProof/>
          <w:color w:val="auto"/>
          <w:sz w:val="22"/>
          <w:szCs w:val="22"/>
        </w:rPr>
        <w:t>8</w:t>
      </w:r>
      <w:r w:rsidRPr="00D9744C">
        <w:rPr>
          <w:rFonts w:ascii="Arial" w:hAnsi="Arial" w:cs="Arial"/>
          <w:color w:val="auto"/>
          <w:sz w:val="22"/>
          <w:szCs w:val="22"/>
        </w:rPr>
        <w:fldChar w:fldCharType="end"/>
      </w:r>
      <w:r w:rsidRPr="00D9744C">
        <w:rPr>
          <w:rFonts w:ascii="Arial" w:hAnsi="Arial" w:cs="Arial"/>
          <w:color w:val="auto"/>
          <w:sz w:val="22"/>
          <w:szCs w:val="22"/>
        </w:rPr>
        <w:t>. Bolívar, Participación porcentual departamental del valor agregado por grandes ramas de actividad económica, precios corrientes 2001 -2012</w:t>
      </w:r>
      <w:bookmarkEnd w:id="54"/>
    </w:p>
    <w:p w:rsidR="00D9744C" w:rsidRPr="00D9744C" w:rsidRDefault="00D9744C" w:rsidP="00D9744C">
      <w:pPr>
        <w:autoSpaceDE w:val="0"/>
        <w:autoSpaceDN w:val="0"/>
        <w:adjustRightInd w:val="0"/>
        <w:spacing w:after="200" w:line="276" w:lineRule="auto"/>
        <w:jc w:val="both"/>
        <w:rPr>
          <w:rFonts w:ascii="Arial" w:hAnsi="Arial" w:cs="Arial"/>
          <w:lang w:val="es-CO"/>
        </w:rPr>
      </w:pPr>
      <w:r w:rsidRPr="00D9744C">
        <w:rPr>
          <w:noProof/>
          <w:lang w:eastAsia="es-ES"/>
        </w:rPr>
        <w:drawing>
          <wp:inline distT="0" distB="0" distL="0" distR="0" wp14:anchorId="1FCCACA3" wp14:editId="0A07A2B0">
            <wp:extent cx="5695950" cy="3400425"/>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744C" w:rsidRPr="00D9744C" w:rsidRDefault="00D9744C" w:rsidP="00D9744C">
      <w:pPr>
        <w:tabs>
          <w:tab w:val="left" w:pos="1275"/>
          <w:tab w:val="center" w:pos="4249"/>
        </w:tabs>
        <w:spacing w:line="276" w:lineRule="auto"/>
        <w:rPr>
          <w:rFonts w:ascii="Arial" w:hAnsi="Arial"/>
          <w:sz w:val="18"/>
          <w:szCs w:val="18"/>
          <w:lang w:val="es-CO"/>
        </w:rPr>
      </w:pPr>
      <w:r w:rsidRPr="00D9744C">
        <w:rPr>
          <w:rFonts w:ascii="Arial" w:hAnsi="Arial"/>
          <w:sz w:val="18"/>
          <w:szCs w:val="18"/>
          <w:lang w:val="es-CO"/>
        </w:rPr>
        <w:tab/>
      </w:r>
      <w:r w:rsidRPr="00D9744C">
        <w:rPr>
          <w:rFonts w:ascii="Arial" w:hAnsi="Arial"/>
          <w:sz w:val="18"/>
          <w:szCs w:val="18"/>
          <w:lang w:val="es-CO"/>
        </w:rPr>
        <w:tab/>
        <w:t>Fuente: DANE</w:t>
      </w:r>
      <w:r w:rsidRPr="00D9744C">
        <w:rPr>
          <w:rFonts w:ascii="Arial" w:hAnsi="Arial" w:cs="Arial"/>
          <w:sz w:val="18"/>
          <w:szCs w:val="18"/>
          <w:lang w:val="es-CO"/>
        </w:rPr>
        <w:t xml:space="preserve">. </w:t>
      </w:r>
      <w:r w:rsidRPr="00D9744C">
        <w:rPr>
          <w:rFonts w:ascii="Arial" w:hAnsi="Arial"/>
          <w:sz w:val="18"/>
          <w:szCs w:val="18"/>
          <w:lang w:val="es-CO"/>
        </w:rPr>
        <w:t>Cuentas departamentales</w:t>
      </w:r>
      <w:r w:rsidRPr="00D9744C">
        <w:rPr>
          <w:rFonts w:ascii="Arial" w:hAnsi="Arial" w:cs="Arial"/>
          <w:sz w:val="18"/>
          <w:szCs w:val="18"/>
          <w:lang w:val="es-CO"/>
        </w:rPr>
        <w:t xml:space="preserve">, </w:t>
      </w:r>
      <w:r w:rsidRPr="00D9744C">
        <w:rPr>
          <w:rFonts w:ascii="Arial" w:hAnsi="Arial"/>
          <w:sz w:val="18"/>
          <w:szCs w:val="18"/>
          <w:lang w:val="es-CO"/>
        </w:rPr>
        <w:t>2013</w:t>
      </w:r>
    </w:p>
    <w:p w:rsidR="00D9744C" w:rsidRPr="00D9744C" w:rsidRDefault="00D9744C" w:rsidP="00D9744C">
      <w:pPr>
        <w:tabs>
          <w:tab w:val="left" w:pos="1275"/>
          <w:tab w:val="center" w:pos="4249"/>
        </w:tabs>
        <w:spacing w:line="276" w:lineRule="auto"/>
        <w:rPr>
          <w:rFonts w:ascii="Arial" w:hAnsi="Arial"/>
          <w:sz w:val="18"/>
          <w:szCs w:val="18"/>
          <w:lang w:val="es-CO"/>
        </w:rPr>
      </w:pPr>
    </w:p>
    <w:p w:rsidR="00D9744C" w:rsidRPr="00D9744C" w:rsidRDefault="00D9744C" w:rsidP="00DC6E74">
      <w:pPr>
        <w:numPr>
          <w:ilvl w:val="0"/>
          <w:numId w:val="3"/>
        </w:numPr>
        <w:autoSpaceDE w:val="0"/>
        <w:autoSpaceDN w:val="0"/>
        <w:adjustRightInd w:val="0"/>
        <w:spacing w:after="200" w:line="276" w:lineRule="auto"/>
        <w:contextualSpacing/>
        <w:jc w:val="both"/>
        <w:rPr>
          <w:rFonts w:ascii="Arial" w:hAnsi="Arial" w:cs="Arial"/>
          <w:lang w:val="es-CO"/>
        </w:rPr>
      </w:pPr>
      <w:r w:rsidRPr="00D9744C">
        <w:rPr>
          <w:rFonts w:ascii="Arial" w:hAnsi="Arial" w:cs="Arial"/>
          <w:lang w:val="es-CO"/>
        </w:rPr>
        <w:t>El sector de servicios, que aporta 54,3%; sumado el aporte de administración pública, educación, salud y recreación, financiero, actividades inmobiliarias y servicios a las empresas, comercio, reparación, restaurantes y hoteles, transporte, almacenamiento y comunicaciones y suministro de electricidad, gas y agua.</w:t>
      </w:r>
    </w:p>
    <w:p w:rsidR="00D9744C" w:rsidRPr="00D9744C" w:rsidRDefault="00D9744C" w:rsidP="00DC6E74">
      <w:pPr>
        <w:numPr>
          <w:ilvl w:val="0"/>
          <w:numId w:val="3"/>
        </w:numPr>
        <w:autoSpaceDE w:val="0"/>
        <w:autoSpaceDN w:val="0"/>
        <w:adjustRightInd w:val="0"/>
        <w:spacing w:after="200" w:line="276" w:lineRule="auto"/>
        <w:contextualSpacing/>
        <w:jc w:val="both"/>
        <w:rPr>
          <w:rFonts w:ascii="Arial" w:hAnsi="Arial" w:cs="Arial"/>
          <w:b/>
          <w:bCs/>
          <w:lang w:val="es-CO"/>
        </w:rPr>
      </w:pPr>
      <w:r w:rsidRPr="00D9744C">
        <w:rPr>
          <w:rFonts w:ascii="Arial" w:hAnsi="Arial" w:cs="Arial"/>
          <w:lang w:val="es-CO"/>
        </w:rPr>
        <w:t xml:space="preserve">Seguido en orden de importancia están las actividades de la producción industrial, que son el segundo sector que más le aporta al PIB departamental con un </w:t>
      </w:r>
      <w:r w:rsidR="006D50CD">
        <w:rPr>
          <w:rFonts w:ascii="Arial" w:hAnsi="Arial" w:cs="Arial"/>
          <w:lang w:val="es-CO"/>
        </w:rPr>
        <w:t>26</w:t>
      </w:r>
      <w:r w:rsidRPr="00D9744C">
        <w:rPr>
          <w:rFonts w:ascii="Arial" w:hAnsi="Arial" w:cs="Arial"/>
          <w:lang w:val="es-CO"/>
        </w:rPr>
        <w:t xml:space="preserve">% (industrias manufactureras). </w:t>
      </w:r>
    </w:p>
    <w:p w:rsidR="00D9744C" w:rsidRPr="00D9744C" w:rsidRDefault="00D9744C" w:rsidP="00DC6E74">
      <w:pPr>
        <w:numPr>
          <w:ilvl w:val="0"/>
          <w:numId w:val="3"/>
        </w:numPr>
        <w:autoSpaceDE w:val="0"/>
        <w:autoSpaceDN w:val="0"/>
        <w:adjustRightInd w:val="0"/>
        <w:spacing w:after="200" w:line="276" w:lineRule="auto"/>
        <w:contextualSpacing/>
        <w:jc w:val="both"/>
        <w:rPr>
          <w:rFonts w:ascii="Arial" w:hAnsi="Arial" w:cs="Arial"/>
          <w:b/>
          <w:bCs/>
          <w:lang w:val="es-CO"/>
        </w:rPr>
      </w:pPr>
      <w:r w:rsidRPr="00D9744C">
        <w:rPr>
          <w:rFonts w:ascii="Arial" w:hAnsi="Arial" w:cs="Arial"/>
          <w:lang w:val="es-CO"/>
        </w:rPr>
        <w:t>El sector de la construcción aporta un 8,7%, y la producción agropecuaria un 6,</w:t>
      </w:r>
      <w:r w:rsidR="006D50CD">
        <w:rPr>
          <w:rFonts w:ascii="Arial" w:hAnsi="Arial" w:cs="Arial"/>
          <w:lang w:val="es-CO"/>
        </w:rPr>
        <w:t>4</w:t>
      </w:r>
      <w:r w:rsidRPr="00D9744C">
        <w:rPr>
          <w:rFonts w:ascii="Arial" w:hAnsi="Arial" w:cs="Arial"/>
          <w:lang w:val="es-CO"/>
        </w:rPr>
        <w:t>%</w:t>
      </w:r>
      <w:r w:rsidR="006D50CD">
        <w:rPr>
          <w:rFonts w:ascii="Arial" w:hAnsi="Arial" w:cs="Arial"/>
          <w:lang w:val="es-CO"/>
        </w:rPr>
        <w:t xml:space="preserve"> en el año 2011.</w:t>
      </w:r>
    </w:p>
    <w:p w:rsidR="00D9744C" w:rsidRPr="00D9744C" w:rsidRDefault="00D9744C" w:rsidP="00D9744C">
      <w:pPr>
        <w:autoSpaceDE w:val="0"/>
        <w:autoSpaceDN w:val="0"/>
        <w:adjustRightInd w:val="0"/>
        <w:spacing w:line="276" w:lineRule="auto"/>
        <w:ind w:left="720"/>
        <w:contextualSpacing/>
        <w:jc w:val="both"/>
        <w:rPr>
          <w:rFonts w:ascii="Arial" w:hAnsi="Arial" w:cs="Arial"/>
          <w:b/>
          <w:bCs/>
          <w:lang w:val="es-CO"/>
        </w:rPr>
      </w:pPr>
    </w:p>
    <w:p w:rsidR="006D50CD" w:rsidRDefault="006D50CD" w:rsidP="00D9744C">
      <w:pPr>
        <w:autoSpaceDE w:val="0"/>
        <w:autoSpaceDN w:val="0"/>
        <w:adjustRightInd w:val="0"/>
        <w:spacing w:after="200" w:line="276" w:lineRule="auto"/>
        <w:jc w:val="both"/>
        <w:rPr>
          <w:rFonts w:ascii="Arial" w:hAnsi="Arial" w:cs="Arial"/>
          <w:lang w:val="es-CO"/>
        </w:rPr>
      </w:pPr>
      <w:r>
        <w:rPr>
          <w:rFonts w:ascii="Arial" w:hAnsi="Arial" w:cs="Arial"/>
          <w:lang w:val="es-CO"/>
        </w:rPr>
        <w:t>A continuación se presentan algunos datos por ramas de actividad provenientes de las cuentas departamentales.</w:t>
      </w:r>
      <w:r w:rsidR="001D7E55">
        <w:rPr>
          <w:rFonts w:ascii="Arial" w:hAnsi="Arial" w:cs="Arial"/>
          <w:lang w:val="es-CO"/>
        </w:rPr>
        <w:t xml:space="preserve"> </w:t>
      </w:r>
      <w:r w:rsidR="00D9744C" w:rsidRPr="00D9744C">
        <w:rPr>
          <w:rFonts w:ascii="Arial" w:hAnsi="Arial" w:cs="Arial"/>
          <w:lang w:val="es-CO"/>
        </w:rPr>
        <w:t>De acuerdo con la</w:t>
      </w:r>
      <w:r>
        <w:rPr>
          <w:rFonts w:ascii="Arial" w:hAnsi="Arial" w:cs="Arial"/>
          <w:lang w:val="es-CO"/>
        </w:rPr>
        <w:t xml:space="preserve">s cifras se destaca lo </w:t>
      </w:r>
      <w:r w:rsidR="001D7E55">
        <w:rPr>
          <w:rFonts w:ascii="Arial" w:hAnsi="Arial" w:cs="Arial"/>
          <w:lang w:val="es-CO"/>
        </w:rPr>
        <w:t>siguiente</w:t>
      </w:r>
      <w:r>
        <w:rPr>
          <w:rFonts w:ascii="Arial" w:hAnsi="Arial" w:cs="Arial"/>
          <w:lang w:val="es-CO"/>
        </w:rPr>
        <w:t>:</w:t>
      </w:r>
      <w:r w:rsidR="00D9744C" w:rsidRPr="00D9744C">
        <w:rPr>
          <w:rFonts w:ascii="Arial" w:hAnsi="Arial" w:cs="Arial"/>
          <w:lang w:val="es-CO"/>
        </w:rPr>
        <w:t xml:space="preserve"> </w:t>
      </w:r>
    </w:p>
    <w:p w:rsidR="006D50CD" w:rsidRDefault="006D50CD" w:rsidP="00DC6E74">
      <w:pPr>
        <w:pStyle w:val="Prrafodelista"/>
        <w:numPr>
          <w:ilvl w:val="0"/>
          <w:numId w:val="34"/>
        </w:numPr>
        <w:autoSpaceDE w:val="0"/>
        <w:autoSpaceDN w:val="0"/>
        <w:adjustRightInd w:val="0"/>
        <w:spacing w:after="200" w:line="276" w:lineRule="auto"/>
        <w:jc w:val="both"/>
        <w:rPr>
          <w:rFonts w:ascii="Arial" w:hAnsi="Arial" w:cs="Arial"/>
          <w:lang w:val="es-CO"/>
        </w:rPr>
      </w:pPr>
      <w:r w:rsidRPr="000145B6">
        <w:rPr>
          <w:rFonts w:ascii="Arial" w:hAnsi="Arial" w:cs="Arial"/>
          <w:lang w:val="es-CO"/>
        </w:rPr>
        <w:t>E</w:t>
      </w:r>
      <w:r w:rsidR="00D9744C" w:rsidRPr="000145B6">
        <w:rPr>
          <w:rFonts w:ascii="Arial" w:hAnsi="Arial" w:cs="Arial"/>
          <w:lang w:val="es-CO"/>
        </w:rPr>
        <w:t>l PIB de Bol</w:t>
      </w:r>
      <w:r w:rsidR="00D9744C" w:rsidRPr="000145B6">
        <w:rPr>
          <w:rFonts w:ascii="Arial" w:hAnsi="Arial" w:cs="Arial"/>
          <w:bCs/>
          <w:lang w:val="es-CO"/>
        </w:rPr>
        <w:t xml:space="preserve">ívar para 2011 </w:t>
      </w:r>
      <w:r w:rsidR="00D9744C" w:rsidRPr="000145B6">
        <w:rPr>
          <w:rFonts w:ascii="Arial" w:hAnsi="Arial" w:cs="Arial"/>
          <w:lang w:val="es-CO"/>
        </w:rPr>
        <w:t xml:space="preserve">fue de 17.822 miles de millones de pesos. Para este año la actividad industrial aportó el 22,5%; las actividades de servicios sociales, comunales y personales aportaron el 13,0% y los establecimientos financieros, seguros, actividades inmobiliarias y servicios a las empresas aportaron 11,7%. </w:t>
      </w:r>
    </w:p>
    <w:p w:rsidR="006D50CD" w:rsidRDefault="006D50CD" w:rsidP="000145B6">
      <w:pPr>
        <w:pStyle w:val="Prrafodelista"/>
        <w:autoSpaceDE w:val="0"/>
        <w:autoSpaceDN w:val="0"/>
        <w:adjustRightInd w:val="0"/>
        <w:spacing w:after="200" w:line="276" w:lineRule="auto"/>
        <w:jc w:val="both"/>
        <w:rPr>
          <w:rFonts w:ascii="Arial" w:hAnsi="Arial" w:cs="Arial"/>
          <w:lang w:val="es-CO"/>
        </w:rPr>
      </w:pPr>
    </w:p>
    <w:p w:rsidR="00D9744C" w:rsidRDefault="00D9744C" w:rsidP="00DC6E74">
      <w:pPr>
        <w:pStyle w:val="Prrafodelista"/>
        <w:numPr>
          <w:ilvl w:val="0"/>
          <w:numId w:val="34"/>
        </w:numPr>
        <w:autoSpaceDE w:val="0"/>
        <w:autoSpaceDN w:val="0"/>
        <w:adjustRightInd w:val="0"/>
        <w:spacing w:after="200" w:line="276" w:lineRule="auto"/>
        <w:jc w:val="both"/>
        <w:rPr>
          <w:rFonts w:ascii="Arial" w:hAnsi="Arial" w:cs="Arial"/>
          <w:lang w:val="es-CO"/>
        </w:rPr>
      </w:pPr>
      <w:r w:rsidRPr="000145B6">
        <w:rPr>
          <w:rFonts w:ascii="Arial" w:hAnsi="Arial" w:cs="Arial"/>
          <w:lang w:val="es-CO"/>
        </w:rPr>
        <w:t xml:space="preserve">Según ramas de actividad económica, la tasa de crecimiento de las ramas en el departamento que superó el promedio nacional se dio en construcción (6,3%), </w:t>
      </w:r>
      <w:r w:rsidRPr="000145B6">
        <w:rPr>
          <w:rFonts w:ascii="Arial" w:hAnsi="Arial" w:cs="Arial"/>
          <w:lang w:val="es-CO"/>
        </w:rPr>
        <w:lastRenderedPageBreak/>
        <w:t>explotación de minas y canteras (5,2%) y transporte, almacenamiento y comunicaciones (2,6%).</w:t>
      </w:r>
    </w:p>
    <w:p w:rsidR="006D50CD" w:rsidRPr="000145B6" w:rsidRDefault="006D50CD" w:rsidP="000145B6">
      <w:pPr>
        <w:pStyle w:val="Prrafodelista"/>
        <w:rPr>
          <w:rFonts w:ascii="Arial" w:hAnsi="Arial" w:cs="Arial"/>
          <w:lang w:val="es-CO"/>
        </w:rPr>
      </w:pPr>
    </w:p>
    <w:p w:rsidR="006D50CD" w:rsidRPr="000145B6" w:rsidRDefault="006D50CD" w:rsidP="000145B6">
      <w:pPr>
        <w:pStyle w:val="Prrafodelista"/>
        <w:autoSpaceDE w:val="0"/>
        <w:autoSpaceDN w:val="0"/>
        <w:adjustRightInd w:val="0"/>
        <w:spacing w:after="200" w:line="276" w:lineRule="auto"/>
        <w:jc w:val="both"/>
        <w:rPr>
          <w:rFonts w:ascii="Arial" w:hAnsi="Arial" w:cs="Arial"/>
          <w:lang w:val="es-CO"/>
        </w:rPr>
      </w:pPr>
    </w:p>
    <w:p w:rsidR="00D9744C" w:rsidRPr="000145B6" w:rsidRDefault="00D9744C" w:rsidP="00DC6E74">
      <w:pPr>
        <w:pStyle w:val="Prrafodelista"/>
        <w:numPr>
          <w:ilvl w:val="0"/>
          <w:numId w:val="34"/>
        </w:numPr>
        <w:autoSpaceDE w:val="0"/>
        <w:autoSpaceDN w:val="0"/>
        <w:adjustRightInd w:val="0"/>
        <w:spacing w:after="200" w:line="276" w:lineRule="auto"/>
        <w:jc w:val="both"/>
        <w:rPr>
          <w:rFonts w:ascii="Arial" w:hAnsi="Arial" w:cs="Arial"/>
          <w:lang w:val="es-CO"/>
        </w:rPr>
      </w:pPr>
      <w:r w:rsidRPr="000145B6">
        <w:rPr>
          <w:rFonts w:ascii="Arial" w:hAnsi="Arial" w:cs="Arial"/>
          <w:lang w:val="es-CO"/>
        </w:rPr>
        <w:t>Por su parte, las ramas de actividad cuyas tasas de crecimiento se ubicaron por debajo del promedio nacional fueron comercio, reparación, restaurantes y hoteles (-1,5%) y suministro de electricidad, gas y agua (0,7%).</w:t>
      </w:r>
    </w:p>
    <w:p w:rsidR="00D9744C" w:rsidRPr="00D9744C" w:rsidRDefault="00D9744C" w:rsidP="00D9744C">
      <w:pPr>
        <w:pStyle w:val="Epgrafe"/>
        <w:jc w:val="center"/>
        <w:rPr>
          <w:rFonts w:ascii="Arial" w:hAnsi="Arial" w:cs="Arial"/>
          <w:color w:val="auto"/>
          <w:sz w:val="22"/>
          <w:szCs w:val="22"/>
        </w:rPr>
      </w:pPr>
      <w:bookmarkStart w:id="55" w:name="_Toc389667016"/>
      <w:r w:rsidRPr="00D9744C">
        <w:rPr>
          <w:rFonts w:ascii="Arial" w:hAnsi="Arial" w:cs="Arial"/>
          <w:color w:val="auto"/>
          <w:sz w:val="22"/>
          <w:szCs w:val="22"/>
        </w:rPr>
        <w:t xml:space="preserve">Tabla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Tabla \* ARABIC </w:instrText>
      </w:r>
      <w:r w:rsidRPr="00D9744C">
        <w:rPr>
          <w:rFonts w:ascii="Arial" w:hAnsi="Arial" w:cs="Arial"/>
          <w:color w:val="auto"/>
          <w:sz w:val="22"/>
          <w:szCs w:val="22"/>
        </w:rPr>
        <w:fldChar w:fldCharType="separate"/>
      </w:r>
      <w:r w:rsidRPr="00D9744C">
        <w:rPr>
          <w:rFonts w:ascii="Arial" w:hAnsi="Arial" w:cs="Arial"/>
          <w:noProof/>
          <w:color w:val="auto"/>
          <w:sz w:val="22"/>
          <w:szCs w:val="22"/>
        </w:rPr>
        <w:t>3</w:t>
      </w:r>
      <w:r w:rsidRPr="00D9744C">
        <w:rPr>
          <w:rFonts w:ascii="Arial" w:hAnsi="Arial" w:cs="Arial"/>
          <w:color w:val="auto"/>
          <w:sz w:val="22"/>
          <w:szCs w:val="22"/>
        </w:rPr>
        <w:fldChar w:fldCharType="end"/>
      </w:r>
      <w:r w:rsidRPr="00D9744C">
        <w:rPr>
          <w:rFonts w:ascii="Arial" w:hAnsi="Arial" w:cs="Arial"/>
          <w:color w:val="auto"/>
          <w:sz w:val="22"/>
          <w:szCs w:val="22"/>
        </w:rPr>
        <w:t>. PIB y tasa de crecimiento económico por ramas de actividad económica 2011/2010, miles de millones a precios constantes 2005 por encadenamientos</w:t>
      </w:r>
      <w:bookmarkEnd w:id="55"/>
    </w:p>
    <w:tbl>
      <w:tblPr>
        <w:tblW w:w="9999" w:type="dxa"/>
        <w:jc w:val="center"/>
        <w:tblCellMar>
          <w:left w:w="0" w:type="dxa"/>
          <w:right w:w="0" w:type="dxa"/>
        </w:tblCellMar>
        <w:tblLook w:val="04A0" w:firstRow="1" w:lastRow="0" w:firstColumn="1" w:lastColumn="0" w:noHBand="0" w:noVBand="1"/>
      </w:tblPr>
      <w:tblGrid>
        <w:gridCol w:w="4311"/>
        <w:gridCol w:w="1318"/>
        <w:gridCol w:w="1082"/>
        <w:gridCol w:w="1106"/>
        <w:gridCol w:w="907"/>
        <w:gridCol w:w="1275"/>
      </w:tblGrid>
      <w:tr w:rsidR="00D9744C" w:rsidRPr="00D9744C" w:rsidTr="000E14A3">
        <w:trPr>
          <w:trHeight w:val="20"/>
          <w:jc w:val="center"/>
        </w:trPr>
        <w:tc>
          <w:tcPr>
            <w:tcW w:w="431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Ramas de actividad</w:t>
            </w:r>
          </w:p>
        </w:tc>
        <w:tc>
          <w:tcPr>
            <w:tcW w:w="240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Valor 2011</w:t>
            </w:r>
          </w:p>
        </w:tc>
        <w:tc>
          <w:tcPr>
            <w:tcW w:w="328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Tasa de crecimiento promedio 2001 - 2011</w:t>
            </w:r>
          </w:p>
        </w:tc>
      </w:tr>
      <w:tr w:rsidR="00D9744C" w:rsidRPr="00D9744C" w:rsidTr="000E14A3">
        <w:trPr>
          <w:trHeight w:val="20"/>
          <w:jc w:val="center"/>
        </w:trPr>
        <w:tc>
          <w:tcPr>
            <w:tcW w:w="4311" w:type="dxa"/>
            <w:vMerge/>
            <w:tcBorders>
              <w:top w:val="single" w:sz="4" w:space="0" w:color="auto"/>
              <w:left w:val="single" w:sz="4" w:space="0" w:color="auto"/>
              <w:bottom w:val="single" w:sz="4" w:space="0" w:color="auto"/>
              <w:right w:val="single" w:sz="4" w:space="0" w:color="auto"/>
            </w:tcBorders>
            <w:vAlign w:val="center"/>
            <w:hideMark/>
          </w:tcPr>
          <w:p w:rsidR="00D9744C" w:rsidRPr="00D9744C" w:rsidRDefault="00D9744C" w:rsidP="00D9744C">
            <w:pPr>
              <w:rPr>
                <w:rFonts w:ascii="Arial" w:hAnsi="Arial" w:cs="Arial"/>
                <w:b/>
                <w:bCs/>
                <w:color w:val="000000"/>
                <w:sz w:val="18"/>
                <w:szCs w:val="18"/>
                <w:lang w:val="es-CO"/>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Nacional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Bolívar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Nacional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Bolívar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Diferencia</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Agricultura, ganadería, caza, silvicultura y pesca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28.387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879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0,8</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Explotación de minas y canteras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34.112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5,2</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Industria manufactureras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56.771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4.002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1,7</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Suministro de electricidad, gas y agua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16.352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-0,7</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Construcción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28.937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1.275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6,3</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Comercio, reparación, restaurantes y hoteles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54.05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1.617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-1,5</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Transporte, almacenamiento y comunicaciones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33.309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1.365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2,6</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Establecimientos financieros, seguros, actividades inmobiliarias y servicios a las empresas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88.444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1,1</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Actividades de servicios sociales, comunales y personales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67.828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2.316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0,9</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Subtotal Valor Agregado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410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0,9</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Derechos e impuestos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43.348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3.178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color w:val="000000"/>
                <w:sz w:val="18"/>
                <w:szCs w:val="18"/>
                <w:lang w:val="es-CO"/>
              </w:rPr>
            </w:pPr>
            <w:r w:rsidRPr="00D9744C">
              <w:rPr>
                <w:rFonts w:ascii="Arial" w:hAnsi="Arial" w:cs="Arial"/>
                <w:color w:val="000000"/>
                <w:sz w:val="18"/>
                <w:szCs w:val="18"/>
                <w:lang w:val="es-CO"/>
              </w:rPr>
              <w:t>0</w:t>
            </w:r>
          </w:p>
        </w:tc>
      </w:tr>
      <w:tr w:rsidR="00D9744C" w:rsidRPr="00D9744C" w:rsidTr="000E14A3">
        <w:trPr>
          <w:trHeight w:val="20"/>
          <w:jc w:val="center"/>
        </w:trPr>
        <w:tc>
          <w:tcPr>
            <w:tcW w:w="43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9744C" w:rsidRPr="00D9744C" w:rsidRDefault="00D9744C" w:rsidP="00D9744C">
            <w:pPr>
              <w:rPr>
                <w:rFonts w:ascii="Arial" w:hAnsi="Arial" w:cs="Arial"/>
                <w:b/>
                <w:bCs/>
                <w:color w:val="000000"/>
                <w:sz w:val="18"/>
                <w:szCs w:val="18"/>
                <w:lang w:val="es-CO"/>
              </w:rPr>
            </w:pPr>
            <w:r w:rsidRPr="00D9744C">
              <w:rPr>
                <w:rFonts w:ascii="Arial" w:hAnsi="Arial" w:cs="Arial"/>
                <w:b/>
                <w:bCs/>
                <w:color w:val="000000"/>
                <w:sz w:val="18"/>
                <w:szCs w:val="18"/>
                <w:lang w:val="es-CO"/>
              </w:rPr>
              <w:t>PIB Producto Interno Bruto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452.816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17.822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9744C" w:rsidRPr="00D9744C" w:rsidRDefault="00D9744C" w:rsidP="00D9744C">
            <w:pPr>
              <w:jc w:val="center"/>
              <w:rPr>
                <w:rFonts w:ascii="Arial" w:hAnsi="Arial" w:cs="Arial"/>
                <w:b/>
                <w:bCs/>
                <w:color w:val="000000"/>
                <w:sz w:val="18"/>
                <w:szCs w:val="18"/>
                <w:lang w:val="es-CO"/>
              </w:rPr>
            </w:pPr>
            <w:r w:rsidRPr="00D9744C">
              <w:rPr>
                <w:rFonts w:ascii="Arial" w:hAnsi="Arial" w:cs="Arial"/>
                <w:b/>
                <w:bCs/>
                <w:color w:val="000000"/>
                <w:sz w:val="18"/>
                <w:szCs w:val="18"/>
                <w:lang w:val="es-CO"/>
              </w:rPr>
              <w:t>0,8</w:t>
            </w:r>
          </w:p>
        </w:tc>
      </w:tr>
    </w:tbl>
    <w:p w:rsidR="00D9744C" w:rsidRPr="00D9744C" w:rsidRDefault="00D9744C" w:rsidP="00D9744C">
      <w:pPr>
        <w:autoSpaceDE w:val="0"/>
        <w:autoSpaceDN w:val="0"/>
        <w:adjustRightInd w:val="0"/>
        <w:spacing w:after="200" w:line="276" w:lineRule="auto"/>
        <w:jc w:val="center"/>
        <w:rPr>
          <w:rFonts w:ascii="Arial" w:hAnsi="Arial" w:cs="Arial"/>
          <w:sz w:val="18"/>
          <w:szCs w:val="18"/>
          <w:lang w:val="es-CO"/>
        </w:rPr>
      </w:pPr>
      <w:r w:rsidRPr="00D9744C">
        <w:rPr>
          <w:rFonts w:ascii="Arial" w:hAnsi="Arial" w:cs="Arial"/>
          <w:sz w:val="20"/>
          <w:szCs w:val="16"/>
          <w:lang w:val="es-CO"/>
        </w:rPr>
        <w:t xml:space="preserve"> </w:t>
      </w:r>
      <w:r w:rsidRPr="00D9744C">
        <w:rPr>
          <w:rFonts w:ascii="Arial" w:hAnsi="Arial" w:cs="Arial"/>
          <w:sz w:val="18"/>
          <w:szCs w:val="18"/>
          <w:lang w:val="es-CO"/>
        </w:rPr>
        <w:t>Fuente: DANE – Cuentas departamentales año 2011</w:t>
      </w:r>
    </w:p>
    <w:p w:rsidR="006D50CD" w:rsidRDefault="006D50CD" w:rsidP="00D9744C">
      <w:pPr>
        <w:spacing w:after="200" w:line="276" w:lineRule="auto"/>
        <w:jc w:val="both"/>
        <w:rPr>
          <w:rFonts w:ascii="Arial" w:hAnsi="Arial" w:cs="Arial"/>
        </w:rPr>
      </w:pPr>
      <w:r>
        <w:rPr>
          <w:rFonts w:ascii="Arial" w:hAnsi="Arial" w:cs="Arial"/>
        </w:rPr>
        <w:t xml:space="preserve">Ahora bien, en referencia a la </w:t>
      </w:r>
      <w:r w:rsidR="00D9744C" w:rsidRPr="00D9744C">
        <w:rPr>
          <w:rFonts w:ascii="Arial" w:hAnsi="Arial" w:cs="Arial"/>
        </w:rPr>
        <w:t xml:space="preserve">posición relativa del Bolívar frente al resto de los departamentos en términos de las tendencias de crecimiento del PIB y el valor alcanzado en el PIB per cápita (en millones de </w:t>
      </w:r>
      <w:r w:rsidR="00D9744C" w:rsidRPr="00796AAC">
        <w:rPr>
          <w:rFonts w:ascii="Arial" w:hAnsi="Arial" w:cs="Arial"/>
        </w:rPr>
        <w:t>pesos)</w:t>
      </w:r>
      <w:r w:rsidRPr="00796AAC">
        <w:rPr>
          <w:rFonts w:ascii="Arial" w:hAnsi="Arial" w:cs="Arial"/>
        </w:rPr>
        <w:t>, e</w:t>
      </w:r>
      <w:r w:rsidR="001B0468" w:rsidRPr="00796AAC">
        <w:rPr>
          <w:rFonts w:ascii="Arial" w:hAnsi="Arial" w:cs="Arial"/>
        </w:rPr>
        <w:t xml:space="preserve">l gráfico 9 </w:t>
      </w:r>
      <w:r w:rsidR="00D9744C" w:rsidRPr="00796AAC">
        <w:rPr>
          <w:rFonts w:ascii="Arial" w:hAnsi="Arial" w:cs="Arial"/>
        </w:rPr>
        <w:t>de</w:t>
      </w:r>
      <w:r w:rsidR="00D9744C" w:rsidRPr="00D9744C">
        <w:rPr>
          <w:rFonts w:ascii="Arial" w:hAnsi="Arial" w:cs="Arial"/>
        </w:rPr>
        <w:t xml:space="preserve"> cuatro cuadrantes muestra que el departamento se ubica muy cerca de los promedios nacionales (en el vértice del gráfico aparece la tasa de crecimiento del PIB en el eje horizontal y el PIB por persona del país en el eje vertical). </w:t>
      </w:r>
    </w:p>
    <w:p w:rsidR="00D9744C" w:rsidRPr="00D9744C" w:rsidRDefault="00D9744C" w:rsidP="00D9744C">
      <w:pPr>
        <w:spacing w:after="200" w:line="276" w:lineRule="auto"/>
        <w:jc w:val="both"/>
        <w:rPr>
          <w:rFonts w:ascii="Arial" w:hAnsi="Arial" w:cs="Arial"/>
        </w:rPr>
      </w:pPr>
      <w:r w:rsidRPr="00D9744C">
        <w:rPr>
          <w:rFonts w:ascii="Arial" w:hAnsi="Arial" w:cs="Arial"/>
        </w:rPr>
        <w:t>De acuerdo con los cálculos a partir de las cuentas departamentales, el PIB per</w:t>
      </w:r>
      <w:r w:rsidR="00482FA9">
        <w:rPr>
          <w:rFonts w:ascii="Arial" w:hAnsi="Arial" w:cs="Arial"/>
        </w:rPr>
        <w:t xml:space="preserve"> </w:t>
      </w:r>
      <w:r w:rsidRPr="00D9744C">
        <w:rPr>
          <w:rFonts w:ascii="Arial" w:hAnsi="Arial" w:cs="Arial"/>
        </w:rPr>
        <w:t xml:space="preserve">cápita (PIBpc) del país llegaba a $13,7 millones en 2012 (aproximadamente US7630 dólares) y una tasa de crecimiento real promedio del PIB de 4,7%. El departamento de Bolívar alcanzó en este mismo año una tasa de crecimiento igual a la nacional, pero con un PIBpc de $13,7 millones, ligeramente superior al del país. Por tal razón  su ubicación sobre la recta horizontal, pero a la derecha del promedio nacional, muy cerca al vértice.  </w:t>
      </w:r>
    </w:p>
    <w:p w:rsidR="00D9744C" w:rsidRDefault="00D9744C" w:rsidP="00D9744C">
      <w:pPr>
        <w:spacing w:after="200" w:line="276" w:lineRule="auto"/>
      </w:pPr>
    </w:p>
    <w:p w:rsidR="00F37ED9" w:rsidRDefault="00F37ED9" w:rsidP="00D9744C">
      <w:pPr>
        <w:spacing w:after="200" w:line="276" w:lineRule="auto"/>
      </w:pPr>
    </w:p>
    <w:p w:rsidR="00F37ED9" w:rsidRDefault="00F37ED9" w:rsidP="00D9744C">
      <w:pPr>
        <w:spacing w:after="200" w:line="276" w:lineRule="auto"/>
      </w:pPr>
    </w:p>
    <w:p w:rsidR="00F37ED9" w:rsidRDefault="00F37ED9" w:rsidP="00D9744C">
      <w:pPr>
        <w:spacing w:after="200" w:line="276" w:lineRule="auto"/>
      </w:pPr>
    </w:p>
    <w:p w:rsidR="00482FA9" w:rsidRPr="00D9744C" w:rsidRDefault="00482FA9" w:rsidP="00D9744C">
      <w:pPr>
        <w:spacing w:after="200" w:line="276" w:lineRule="auto"/>
      </w:pPr>
    </w:p>
    <w:p w:rsidR="00D9744C" w:rsidRPr="00D9744C" w:rsidRDefault="00D9744C" w:rsidP="00D9744C">
      <w:pPr>
        <w:pStyle w:val="Epgrafe"/>
        <w:jc w:val="center"/>
        <w:rPr>
          <w:rFonts w:ascii="Arial" w:hAnsi="Arial" w:cs="Arial"/>
          <w:color w:val="auto"/>
          <w:sz w:val="22"/>
          <w:szCs w:val="22"/>
        </w:rPr>
      </w:pPr>
      <w:bookmarkStart w:id="56" w:name="_Toc387448116"/>
      <w:bookmarkStart w:id="57" w:name="_Toc389666965"/>
      <w:r w:rsidRPr="00D9744C">
        <w:rPr>
          <w:rFonts w:ascii="Arial" w:hAnsi="Arial" w:cs="Arial"/>
          <w:color w:val="auto"/>
          <w:sz w:val="22"/>
          <w:szCs w:val="22"/>
        </w:rPr>
        <w:t xml:space="preserve">Gráfico </w:t>
      </w:r>
      <w:r w:rsidRPr="00D9744C">
        <w:rPr>
          <w:rFonts w:ascii="Arial" w:hAnsi="Arial" w:cs="Arial"/>
          <w:color w:val="auto"/>
          <w:sz w:val="22"/>
          <w:szCs w:val="22"/>
        </w:rPr>
        <w:fldChar w:fldCharType="begin"/>
      </w:r>
      <w:r w:rsidRPr="00D9744C">
        <w:rPr>
          <w:rFonts w:ascii="Arial" w:hAnsi="Arial" w:cs="Arial"/>
          <w:color w:val="auto"/>
          <w:sz w:val="22"/>
          <w:szCs w:val="22"/>
        </w:rPr>
        <w:instrText xml:space="preserve"> SEQ Gráfico \* ARABIC </w:instrText>
      </w:r>
      <w:r w:rsidRPr="00D9744C">
        <w:rPr>
          <w:rFonts w:ascii="Arial" w:hAnsi="Arial" w:cs="Arial"/>
          <w:color w:val="auto"/>
          <w:sz w:val="22"/>
          <w:szCs w:val="22"/>
        </w:rPr>
        <w:fldChar w:fldCharType="separate"/>
      </w:r>
      <w:r w:rsidRPr="00D9744C">
        <w:rPr>
          <w:rFonts w:ascii="Arial" w:hAnsi="Arial" w:cs="Arial"/>
          <w:noProof/>
          <w:color w:val="auto"/>
          <w:sz w:val="22"/>
          <w:szCs w:val="22"/>
        </w:rPr>
        <w:t>9</w:t>
      </w:r>
      <w:r w:rsidRPr="00D9744C">
        <w:rPr>
          <w:rFonts w:ascii="Arial" w:hAnsi="Arial" w:cs="Arial"/>
          <w:color w:val="auto"/>
          <w:sz w:val="22"/>
          <w:szCs w:val="22"/>
        </w:rPr>
        <w:fldChar w:fldCharType="end"/>
      </w:r>
      <w:r w:rsidRPr="00D9744C">
        <w:rPr>
          <w:rFonts w:ascii="Arial" w:hAnsi="Arial" w:cs="Arial"/>
          <w:color w:val="auto"/>
          <w:sz w:val="22"/>
          <w:szCs w:val="22"/>
        </w:rPr>
        <w:t>. Diagrama de dispersión del PIB per cápita y la tasa de crecimiento del PIB</w:t>
      </w:r>
      <w:bookmarkEnd w:id="56"/>
      <w:bookmarkEnd w:id="57"/>
    </w:p>
    <w:p w:rsidR="00D9744C" w:rsidRPr="00D9744C" w:rsidRDefault="00D9744C" w:rsidP="00D9744C">
      <w:pPr>
        <w:autoSpaceDE w:val="0"/>
        <w:autoSpaceDN w:val="0"/>
        <w:adjustRightInd w:val="0"/>
        <w:jc w:val="center"/>
        <w:rPr>
          <w:rFonts w:ascii="Arial" w:hAnsi="Arial" w:cs="Arial"/>
          <w:b/>
          <w:color w:val="4472C4"/>
          <w:lang w:val="es-CO"/>
        </w:rPr>
      </w:pPr>
      <w:r w:rsidRPr="00D9744C">
        <w:rPr>
          <w:noProof/>
          <w:lang w:eastAsia="es-ES"/>
        </w:rPr>
        <w:drawing>
          <wp:inline distT="0" distB="0" distL="0" distR="0" wp14:anchorId="61F8F9A0" wp14:editId="278D581A">
            <wp:extent cx="5614670" cy="4281170"/>
            <wp:effectExtent l="0" t="0" r="24130" b="24130"/>
            <wp:docPr id="2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9744C" w:rsidRPr="00D9744C" w:rsidRDefault="00D9744C" w:rsidP="00D9744C">
      <w:pPr>
        <w:tabs>
          <w:tab w:val="left" w:pos="1275"/>
          <w:tab w:val="center" w:pos="4249"/>
        </w:tabs>
        <w:spacing w:line="276" w:lineRule="auto"/>
        <w:jc w:val="center"/>
        <w:rPr>
          <w:rFonts w:ascii="Arial" w:hAnsi="Arial"/>
          <w:sz w:val="18"/>
          <w:szCs w:val="18"/>
          <w:lang w:val="es-CO"/>
        </w:rPr>
      </w:pPr>
      <w:r w:rsidRPr="00D9744C">
        <w:rPr>
          <w:rFonts w:ascii="Arial" w:hAnsi="Arial"/>
          <w:sz w:val="18"/>
          <w:szCs w:val="18"/>
          <w:lang w:val="es-CO"/>
        </w:rPr>
        <w:t>Fuente: Elaboración propia a partir de datos del DANE</w:t>
      </w:r>
      <w:r w:rsidRPr="00D9744C">
        <w:rPr>
          <w:rFonts w:ascii="Arial" w:hAnsi="Arial" w:cs="Arial"/>
          <w:sz w:val="18"/>
          <w:szCs w:val="18"/>
          <w:lang w:val="es-CO"/>
        </w:rPr>
        <w:t xml:space="preserve">. </w:t>
      </w:r>
      <w:r w:rsidRPr="00D9744C">
        <w:rPr>
          <w:rFonts w:ascii="Arial" w:hAnsi="Arial"/>
          <w:sz w:val="18"/>
          <w:szCs w:val="18"/>
          <w:lang w:val="es-CO"/>
        </w:rPr>
        <w:t>Cuentas departamentales</w:t>
      </w:r>
      <w:r w:rsidRPr="00D9744C">
        <w:rPr>
          <w:rFonts w:ascii="Arial" w:hAnsi="Arial" w:cs="Arial"/>
          <w:sz w:val="18"/>
          <w:szCs w:val="18"/>
          <w:lang w:val="es-CO"/>
        </w:rPr>
        <w:t xml:space="preserve">, </w:t>
      </w:r>
      <w:r w:rsidRPr="00D9744C">
        <w:rPr>
          <w:rFonts w:ascii="Arial" w:hAnsi="Arial"/>
          <w:sz w:val="18"/>
          <w:szCs w:val="18"/>
          <w:lang w:val="es-CO"/>
        </w:rPr>
        <w:t>2013</w:t>
      </w:r>
    </w:p>
    <w:p w:rsidR="00F37ED9" w:rsidRDefault="00F37ED9" w:rsidP="00F37ED9">
      <w:pPr>
        <w:spacing w:after="200" w:line="276" w:lineRule="auto"/>
        <w:jc w:val="both"/>
        <w:rPr>
          <w:rFonts w:ascii="Arial" w:hAnsi="Arial" w:cs="Arial"/>
        </w:rPr>
      </w:pPr>
    </w:p>
    <w:p w:rsidR="00F37ED9" w:rsidRPr="00D9744C" w:rsidRDefault="00F37ED9" w:rsidP="00F37ED9">
      <w:pPr>
        <w:spacing w:after="200" w:line="276" w:lineRule="auto"/>
        <w:jc w:val="both"/>
        <w:rPr>
          <w:rFonts w:ascii="Arial" w:hAnsi="Arial" w:cs="Arial"/>
        </w:rPr>
      </w:pPr>
      <w:r w:rsidRPr="00D9744C">
        <w:rPr>
          <w:rFonts w:ascii="Arial" w:hAnsi="Arial" w:cs="Arial"/>
        </w:rPr>
        <w:t xml:space="preserve">Llama la atención la distancia que toman casi la totalidad de los departamentos frente a Casanare, y Meta, que por sus patrones de especialización en el sector de extracción los ubica en el cuadrante superior derecho con PIBpc por encima de los $40 millones de pesos. Vale la pena anotar que al calcular el promedio del país sin estos dos departamentos, el PIBpc llega  a los $11,3 millones  (aproximadamente unos US6277 dólares en 2012). </w:t>
      </w:r>
    </w:p>
    <w:p w:rsidR="00D9744C" w:rsidRDefault="00D9744C" w:rsidP="00D9744C"/>
    <w:p w:rsidR="00B75C85" w:rsidRPr="00F57C80" w:rsidRDefault="00D9744C" w:rsidP="00D9744C">
      <w:pPr>
        <w:keepNext/>
        <w:keepLines/>
        <w:spacing w:after="200" w:line="276" w:lineRule="auto"/>
        <w:ind w:left="432"/>
        <w:outlineLvl w:val="0"/>
        <w:rPr>
          <w:rFonts w:ascii="Arial" w:eastAsia="Times New Roman" w:hAnsi="Arial" w:cs="Arial"/>
          <w:b/>
          <w:bCs/>
          <w:color w:val="C00000"/>
          <w:sz w:val="24"/>
          <w:szCs w:val="24"/>
        </w:rPr>
      </w:pPr>
      <w:bookmarkStart w:id="58" w:name="_Toc389666621"/>
      <w:r>
        <w:rPr>
          <w:rFonts w:ascii="Arial" w:eastAsia="Times New Roman" w:hAnsi="Arial" w:cs="Arial"/>
          <w:b/>
          <w:bCs/>
          <w:color w:val="C00000"/>
          <w:sz w:val="24"/>
          <w:szCs w:val="24"/>
        </w:rPr>
        <w:t xml:space="preserve">3. </w:t>
      </w:r>
      <w:r w:rsidR="00B75C85" w:rsidRPr="00F57C80">
        <w:rPr>
          <w:rFonts w:ascii="Arial" w:eastAsia="Times New Roman" w:hAnsi="Arial" w:cs="Arial"/>
          <w:b/>
          <w:bCs/>
          <w:color w:val="C00000"/>
          <w:sz w:val="24"/>
          <w:szCs w:val="24"/>
        </w:rPr>
        <w:t xml:space="preserve">Diagnóstico </w:t>
      </w:r>
      <w:bookmarkEnd w:id="28"/>
      <w:r w:rsidR="00B75C85" w:rsidRPr="00F57C80">
        <w:rPr>
          <w:rFonts w:ascii="Arial" w:eastAsia="Times New Roman" w:hAnsi="Arial" w:cs="Arial"/>
          <w:b/>
          <w:bCs/>
          <w:color w:val="C00000"/>
          <w:sz w:val="24"/>
          <w:szCs w:val="24"/>
        </w:rPr>
        <w:t>departamental del mercado laboral</w:t>
      </w:r>
      <w:bookmarkEnd w:id="29"/>
      <w:bookmarkEnd w:id="30"/>
      <w:bookmarkEnd w:id="31"/>
      <w:bookmarkEnd w:id="32"/>
      <w:bookmarkEnd w:id="58"/>
      <w:r w:rsidR="00B75C85" w:rsidRPr="00F57C80">
        <w:rPr>
          <w:rFonts w:ascii="Arial" w:eastAsia="Times New Roman" w:hAnsi="Arial" w:cs="Arial"/>
          <w:b/>
          <w:bCs/>
          <w:color w:val="C00000"/>
          <w:sz w:val="24"/>
          <w:szCs w:val="24"/>
        </w:rPr>
        <w:t xml:space="preserve"> </w:t>
      </w:r>
    </w:p>
    <w:p w:rsidR="009B522B" w:rsidRDefault="00B75C85" w:rsidP="00B75C85">
      <w:pPr>
        <w:autoSpaceDE w:val="0"/>
        <w:autoSpaceDN w:val="0"/>
        <w:adjustRightInd w:val="0"/>
        <w:spacing w:after="240" w:line="276" w:lineRule="auto"/>
        <w:jc w:val="both"/>
        <w:rPr>
          <w:rFonts w:ascii="Arial" w:eastAsiaTheme="minorHAnsi" w:hAnsi="Arial" w:cs="Arial"/>
          <w:lang w:val="es-CO"/>
        </w:rPr>
      </w:pPr>
      <w:r w:rsidRPr="00436018">
        <w:rPr>
          <w:rFonts w:ascii="Arial" w:eastAsiaTheme="minorHAnsi" w:hAnsi="Arial" w:cs="Arial"/>
          <w:lang w:val="es-CO"/>
        </w:rPr>
        <w:t xml:space="preserve">Para la conformación del diagnóstico del mercado de trabajo del departamento de </w:t>
      </w:r>
      <w:r>
        <w:rPr>
          <w:rFonts w:ascii="Arial" w:eastAsiaTheme="minorHAnsi" w:hAnsi="Arial" w:cs="Arial"/>
          <w:lang w:val="es-CO"/>
        </w:rPr>
        <w:t>Bolívar</w:t>
      </w:r>
      <w:r w:rsidRPr="00436018">
        <w:rPr>
          <w:rFonts w:ascii="Arial" w:eastAsiaTheme="minorHAnsi" w:hAnsi="Arial" w:cs="Arial"/>
          <w:lang w:val="es-CO"/>
        </w:rPr>
        <w:t xml:space="preserve">, se utilizaron fuentes primarias y secundarias de información dentro del contexto regional y nacional, en las que se logra representar de forma coherente el comportamiento de los distintos componentes y principales determinantes de la actividad y fluctuaciones de este mercado. </w:t>
      </w:r>
    </w:p>
    <w:p w:rsidR="00B75C85" w:rsidRPr="00436018" w:rsidRDefault="00B75C85" w:rsidP="00B75C85">
      <w:pPr>
        <w:autoSpaceDE w:val="0"/>
        <w:autoSpaceDN w:val="0"/>
        <w:adjustRightInd w:val="0"/>
        <w:spacing w:after="240" w:line="276" w:lineRule="auto"/>
        <w:jc w:val="both"/>
        <w:rPr>
          <w:rFonts w:ascii="Arial" w:eastAsiaTheme="minorHAnsi" w:hAnsi="Arial" w:cs="Arial"/>
          <w:lang w:val="es-CO"/>
        </w:rPr>
      </w:pPr>
      <w:r w:rsidRPr="00436018">
        <w:rPr>
          <w:rFonts w:ascii="Arial" w:eastAsiaTheme="minorHAnsi" w:hAnsi="Arial" w:cs="Arial"/>
          <w:lang w:val="es-CO"/>
        </w:rPr>
        <w:lastRenderedPageBreak/>
        <w:t xml:space="preserve">Como principales fuentes de consulta se encuentran: (1) la Gran Encuesta Integrada de Hogares (GEIH) 2012, anual departamental; (2) el Informe de Coyuntura Regional ICER, DANE; (3) el informe de diagnóstico del mercado del trabajo de </w:t>
      </w:r>
      <w:r>
        <w:rPr>
          <w:rFonts w:ascii="Arial" w:eastAsiaTheme="minorHAnsi" w:hAnsi="Arial" w:cs="Arial"/>
          <w:lang w:val="es-CO"/>
        </w:rPr>
        <w:t>Cartagena</w:t>
      </w:r>
      <w:r w:rsidRPr="00436018">
        <w:rPr>
          <w:rFonts w:ascii="Arial" w:eastAsiaTheme="minorHAnsi" w:hAnsi="Arial" w:cs="Arial"/>
          <w:lang w:val="es-CO"/>
        </w:rPr>
        <w:t xml:space="preserve"> y </w:t>
      </w:r>
      <w:r>
        <w:rPr>
          <w:rFonts w:ascii="Arial" w:eastAsiaTheme="minorHAnsi" w:hAnsi="Arial" w:cs="Arial"/>
          <w:lang w:val="es-CO"/>
        </w:rPr>
        <w:t>Bolívar</w:t>
      </w:r>
      <w:r w:rsidRPr="00436018">
        <w:rPr>
          <w:rFonts w:ascii="Arial" w:eastAsiaTheme="minorHAnsi" w:hAnsi="Arial" w:cs="Arial"/>
          <w:lang w:val="es-CO"/>
        </w:rPr>
        <w:t>- Red ORMET 2013; y (4) la Línea Base de Red Unidos. Además de estos documentos, las fuentes de información estadística relevantes para los análisis de indicadores de mercado laboral provenientes del DANE, la Red de Observatorios de Mercado de Trabajo (Red ORMET), la Encuesta de Trabajo Infantil, el Boletín de la Consultoría para los Derechos Humanos y el Desplazamiento de 2012; y el Departamento Nacional de Planeación (DNP).</w:t>
      </w:r>
    </w:p>
    <w:p w:rsidR="00B75C85" w:rsidRPr="00436018" w:rsidRDefault="00B75C85" w:rsidP="00B75C85">
      <w:pPr>
        <w:autoSpaceDE w:val="0"/>
        <w:autoSpaceDN w:val="0"/>
        <w:adjustRightInd w:val="0"/>
        <w:spacing w:after="240" w:line="276" w:lineRule="auto"/>
        <w:jc w:val="both"/>
        <w:rPr>
          <w:rFonts w:ascii="Arial" w:eastAsiaTheme="minorHAnsi" w:hAnsi="Arial" w:cs="Arial"/>
          <w:lang w:val="es-CO"/>
        </w:rPr>
      </w:pPr>
      <w:r w:rsidRPr="00436018">
        <w:rPr>
          <w:rFonts w:ascii="Arial" w:eastAsiaTheme="minorHAnsi" w:hAnsi="Arial" w:cs="Arial"/>
          <w:lang w:val="es-CO"/>
        </w:rPr>
        <w:t xml:space="preserve">Sobre la base de la información se identificaron, caracterizaron y analizaron las principales problemáticas y mejores oportunidades de cada zona del departamento para priorizar las líneas de acción estratégicas apuntando al crecimiento y la generación de empleo, a mejorar la igualdad de oportunidades y reducir la pobreza, a contribuir a la consolidación de la paz y al incremento de la seguridad, a contribuir a la sostenibilidad ambiental y mejorar las capacidades institucionales de la región y el país. </w:t>
      </w:r>
    </w:p>
    <w:p w:rsidR="00B75C85" w:rsidRPr="00436018" w:rsidRDefault="00B75C85" w:rsidP="00B75C85">
      <w:pPr>
        <w:autoSpaceDE w:val="0"/>
        <w:autoSpaceDN w:val="0"/>
        <w:adjustRightInd w:val="0"/>
        <w:spacing w:after="240" w:line="276" w:lineRule="auto"/>
        <w:jc w:val="both"/>
        <w:rPr>
          <w:rFonts w:ascii="Arial" w:eastAsiaTheme="minorHAnsi" w:hAnsi="Arial" w:cs="Arial"/>
          <w:lang w:val="es-CO"/>
        </w:rPr>
      </w:pPr>
      <w:r w:rsidRPr="00436018">
        <w:rPr>
          <w:rFonts w:ascii="Arial" w:eastAsiaTheme="minorHAnsi" w:hAnsi="Arial" w:cs="Arial"/>
          <w:lang w:val="es-CO"/>
        </w:rPr>
        <w:t xml:space="preserve">En ese orden de ideas, sobre el mercado laboral de </w:t>
      </w:r>
      <w:r>
        <w:rPr>
          <w:rFonts w:ascii="Arial" w:eastAsiaTheme="minorHAnsi" w:hAnsi="Arial" w:cs="Arial"/>
          <w:lang w:val="es-CO"/>
        </w:rPr>
        <w:t xml:space="preserve">Bolívar </w:t>
      </w:r>
      <w:r w:rsidRPr="00436018">
        <w:rPr>
          <w:rFonts w:ascii="Arial" w:eastAsiaTheme="minorHAnsi" w:hAnsi="Arial" w:cs="Arial"/>
          <w:lang w:val="es-CO"/>
        </w:rPr>
        <w:t>se encontró que los principales limitantes del mercado laboral están relacionados con</w:t>
      </w:r>
      <w:r w:rsidR="00E942BE">
        <w:rPr>
          <w:rFonts w:ascii="Arial" w:eastAsiaTheme="minorHAnsi" w:hAnsi="Arial" w:cs="Arial"/>
          <w:lang w:val="es-CO"/>
        </w:rPr>
        <w:t xml:space="preserve"> el</w:t>
      </w:r>
      <w:r w:rsidRPr="00436018">
        <w:rPr>
          <w:rFonts w:ascii="Arial" w:eastAsiaTheme="minorHAnsi" w:hAnsi="Arial" w:cs="Arial"/>
          <w:lang w:val="es-CO"/>
        </w:rPr>
        <w:t xml:space="preserve"> poco dinamismo </w:t>
      </w:r>
      <w:r w:rsidR="00E942BE">
        <w:rPr>
          <w:rFonts w:ascii="Arial" w:eastAsiaTheme="minorHAnsi" w:hAnsi="Arial" w:cs="Arial"/>
          <w:lang w:val="es-CO"/>
        </w:rPr>
        <w:t xml:space="preserve">de los </w:t>
      </w:r>
      <w:r w:rsidRPr="00436018">
        <w:rPr>
          <w:rFonts w:ascii="Arial" w:eastAsiaTheme="minorHAnsi" w:hAnsi="Arial" w:cs="Arial"/>
          <w:lang w:val="es-CO"/>
        </w:rPr>
        <w:t xml:space="preserve">sectores económicos, dificultad para emprender negocios de oportunidad, disminución de las remesas, niveles de formación laboral poco adecuados a la demanda laboral y vocación productiva del departamento, desajustes entre demanda y oferta laboral y limitaciones en la inspección, vigilancia y control. </w:t>
      </w:r>
    </w:p>
    <w:p w:rsidR="00B75C85" w:rsidRPr="00436018" w:rsidRDefault="00B75C85" w:rsidP="00B75C85">
      <w:pPr>
        <w:autoSpaceDE w:val="0"/>
        <w:autoSpaceDN w:val="0"/>
        <w:adjustRightInd w:val="0"/>
        <w:spacing w:line="276" w:lineRule="auto"/>
        <w:jc w:val="both"/>
        <w:rPr>
          <w:rFonts w:ascii="Arial" w:eastAsiaTheme="minorHAnsi" w:hAnsi="Arial" w:cs="Arial"/>
          <w:b/>
          <w:bCs/>
        </w:rPr>
      </w:pPr>
    </w:p>
    <w:p w:rsidR="00B75C85" w:rsidRPr="00F57C80" w:rsidRDefault="001E7CCA" w:rsidP="001E7CCA">
      <w:pPr>
        <w:pStyle w:val="Ttulo2"/>
        <w:spacing w:before="0" w:line="276" w:lineRule="auto"/>
        <w:rPr>
          <w:rFonts w:ascii="Arial" w:hAnsi="Arial" w:cs="Arial"/>
          <w:color w:val="C00000"/>
          <w:sz w:val="22"/>
          <w:szCs w:val="22"/>
        </w:rPr>
      </w:pPr>
      <w:bookmarkStart w:id="59" w:name="_Toc228354551"/>
      <w:bookmarkStart w:id="60" w:name="_Toc362015310"/>
      <w:bookmarkStart w:id="61" w:name="_Toc383790154"/>
      <w:bookmarkStart w:id="62" w:name="_Toc384367620"/>
      <w:bookmarkStart w:id="63" w:name="_Toc385315687"/>
      <w:bookmarkStart w:id="64" w:name="_Toc385418225"/>
      <w:bookmarkStart w:id="65" w:name="_Toc386007246"/>
      <w:bookmarkStart w:id="66" w:name="_Toc389666622"/>
      <w:r>
        <w:rPr>
          <w:rFonts w:ascii="Arial" w:hAnsi="Arial" w:cs="Arial"/>
          <w:color w:val="C00000"/>
          <w:sz w:val="22"/>
          <w:szCs w:val="22"/>
        </w:rPr>
        <w:t xml:space="preserve">3.1 </w:t>
      </w:r>
      <w:r w:rsidR="00B75C85" w:rsidRPr="00F57C80">
        <w:rPr>
          <w:rFonts w:ascii="Arial" w:hAnsi="Arial" w:cs="Arial"/>
          <w:color w:val="C00000"/>
          <w:sz w:val="22"/>
          <w:szCs w:val="22"/>
        </w:rPr>
        <w:t>Magnitud del empleo y el trabajo</w:t>
      </w:r>
      <w:bookmarkEnd w:id="59"/>
      <w:bookmarkEnd w:id="60"/>
      <w:bookmarkEnd w:id="61"/>
      <w:bookmarkEnd w:id="62"/>
      <w:bookmarkEnd w:id="63"/>
      <w:bookmarkEnd w:id="64"/>
      <w:bookmarkEnd w:id="65"/>
      <w:bookmarkEnd w:id="66"/>
    </w:p>
    <w:p w:rsidR="00B75C85" w:rsidRDefault="00B75C85" w:rsidP="00B75C85">
      <w:pPr>
        <w:autoSpaceDE w:val="0"/>
        <w:autoSpaceDN w:val="0"/>
        <w:adjustRightInd w:val="0"/>
        <w:spacing w:line="276" w:lineRule="auto"/>
        <w:jc w:val="both"/>
        <w:rPr>
          <w:rFonts w:ascii="Arial" w:eastAsiaTheme="minorHAnsi" w:hAnsi="Arial" w:cs="Arial"/>
          <w:b/>
          <w:bCs/>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1551D7">
        <w:rPr>
          <w:rFonts w:ascii="Arial" w:eastAsiaTheme="minorHAnsi" w:hAnsi="Arial" w:cs="Arial"/>
          <w:lang w:val="es-CO"/>
        </w:rPr>
        <w:t>En el departamento de Bolívar un problema principal es la presencia de una proporción importante (7,6%)</w:t>
      </w:r>
      <w:r>
        <w:rPr>
          <w:rFonts w:ascii="Arial" w:eastAsiaTheme="minorHAnsi" w:hAnsi="Arial" w:cs="Arial"/>
          <w:lang w:val="es-CO"/>
        </w:rPr>
        <w:t xml:space="preserve"> (DANE, 2011)</w:t>
      </w:r>
      <w:r w:rsidRPr="001551D7">
        <w:rPr>
          <w:rFonts w:ascii="Arial" w:eastAsiaTheme="minorHAnsi" w:hAnsi="Arial" w:cs="Arial"/>
          <w:lang w:val="es-CO"/>
        </w:rPr>
        <w:t xml:space="preserve"> de personas económicamente activas que no encuentran empleo. Las dificultades radican en la falta de condiciones que generen empleo y que favorezcan la estabilidad de muchos de los emprendimientos que se inician</w:t>
      </w:r>
      <w:r>
        <w:rPr>
          <w:rFonts w:ascii="Arial" w:eastAsiaTheme="minorHAnsi" w:hAnsi="Arial" w:cs="Arial"/>
          <w:lang w:val="es-CO"/>
        </w:rPr>
        <w:t xml:space="preserve"> (Ormet, 2012)</w:t>
      </w:r>
      <w:r w:rsidRPr="001551D7">
        <w:rPr>
          <w:rFonts w:ascii="Arial" w:eastAsiaTheme="minorHAnsi" w:hAnsi="Arial" w:cs="Arial"/>
          <w:lang w:val="es-CO"/>
        </w:rPr>
        <w:t>.</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482FA9" w:rsidRDefault="00B75C85" w:rsidP="00482FA9">
      <w:pPr>
        <w:rPr>
          <w:rFonts w:ascii="Arial" w:hAnsi="Arial" w:cs="Arial"/>
          <w:b/>
        </w:rPr>
      </w:pPr>
      <w:r w:rsidRPr="00482FA9">
        <w:rPr>
          <w:rFonts w:ascii="Arial" w:hAnsi="Arial" w:cs="Arial"/>
          <w:b/>
        </w:rPr>
        <w:t>Características de la oferta laboral</w:t>
      </w:r>
    </w:p>
    <w:p w:rsidR="00B75C85" w:rsidRDefault="00B75C85" w:rsidP="00B75C85"/>
    <w:p w:rsidR="00570699" w:rsidRDefault="00B75C85" w:rsidP="00B75C85">
      <w:pPr>
        <w:autoSpaceDE w:val="0"/>
        <w:autoSpaceDN w:val="0"/>
        <w:adjustRightInd w:val="0"/>
        <w:spacing w:line="276" w:lineRule="auto"/>
        <w:jc w:val="both"/>
        <w:rPr>
          <w:rFonts w:ascii="Arial" w:eastAsiaTheme="minorHAnsi" w:hAnsi="Arial" w:cs="Arial"/>
          <w:lang w:val="es-CO"/>
        </w:rPr>
      </w:pPr>
      <w:r w:rsidRPr="001551D7">
        <w:rPr>
          <w:rFonts w:ascii="Arial" w:eastAsiaTheme="minorHAnsi" w:hAnsi="Arial" w:cs="Arial"/>
          <w:lang w:val="es-CO"/>
        </w:rPr>
        <w:t xml:space="preserve">En el año 2012 el departamento de Bolívar </w:t>
      </w:r>
      <w:r w:rsidR="00570699">
        <w:rPr>
          <w:rFonts w:ascii="Arial" w:eastAsiaTheme="minorHAnsi" w:hAnsi="Arial" w:cs="Arial"/>
          <w:lang w:val="es-CO"/>
        </w:rPr>
        <w:t>tenía</w:t>
      </w:r>
      <w:r w:rsidR="00570699" w:rsidRPr="001551D7">
        <w:rPr>
          <w:rFonts w:ascii="Arial" w:eastAsiaTheme="minorHAnsi" w:hAnsi="Arial" w:cs="Arial"/>
          <w:lang w:val="es-CO"/>
        </w:rPr>
        <w:t xml:space="preserve"> </w:t>
      </w:r>
      <w:r w:rsidRPr="001551D7">
        <w:rPr>
          <w:rFonts w:ascii="Arial" w:eastAsiaTheme="minorHAnsi" w:hAnsi="Arial" w:cs="Arial"/>
          <w:lang w:val="es-CO"/>
        </w:rPr>
        <w:t xml:space="preserve">una </w:t>
      </w:r>
      <w:r w:rsidR="00570699">
        <w:rPr>
          <w:rFonts w:ascii="Arial" w:eastAsiaTheme="minorHAnsi" w:hAnsi="Arial" w:cs="Arial"/>
          <w:lang w:val="es-CO"/>
        </w:rPr>
        <w:t>p</w:t>
      </w:r>
      <w:r w:rsidRPr="001551D7">
        <w:rPr>
          <w:rFonts w:ascii="Arial" w:eastAsiaTheme="minorHAnsi" w:hAnsi="Arial" w:cs="Arial"/>
          <w:lang w:val="es-CO"/>
        </w:rPr>
        <w:t xml:space="preserve">oblación en </w:t>
      </w:r>
      <w:r w:rsidR="00570699">
        <w:rPr>
          <w:rFonts w:ascii="Arial" w:eastAsiaTheme="minorHAnsi" w:hAnsi="Arial" w:cs="Arial"/>
          <w:lang w:val="es-CO"/>
        </w:rPr>
        <w:t>e</w:t>
      </w:r>
      <w:r w:rsidRPr="001551D7">
        <w:rPr>
          <w:rFonts w:ascii="Arial" w:eastAsiaTheme="minorHAnsi" w:hAnsi="Arial" w:cs="Arial"/>
          <w:lang w:val="es-CO"/>
        </w:rPr>
        <w:t xml:space="preserve">dad de </w:t>
      </w:r>
      <w:r w:rsidR="00570699">
        <w:rPr>
          <w:rFonts w:ascii="Arial" w:eastAsiaTheme="minorHAnsi" w:hAnsi="Arial" w:cs="Arial"/>
          <w:lang w:val="es-CO"/>
        </w:rPr>
        <w:t>t</w:t>
      </w:r>
      <w:r w:rsidRPr="001551D7">
        <w:rPr>
          <w:rFonts w:ascii="Arial" w:eastAsiaTheme="minorHAnsi" w:hAnsi="Arial" w:cs="Arial"/>
          <w:lang w:val="es-CO"/>
        </w:rPr>
        <w:t xml:space="preserve">rabajar (PET) de 1.552.865 personas, cifra que representó el 76,7% de la población total. En el período comprendido entre el año 2001 y 2012, la participación de la PET en la población total aumentó paulatinamente, lo que refleja en el departamento de Bolívar un crecimiento sostenido de su oferta laboral potencial. </w:t>
      </w:r>
    </w:p>
    <w:p w:rsidR="00570699" w:rsidRDefault="00570699"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1551D7">
        <w:rPr>
          <w:rFonts w:ascii="Arial" w:eastAsiaTheme="minorHAnsi" w:hAnsi="Arial" w:cs="Arial"/>
          <w:lang w:val="es-CO"/>
        </w:rPr>
        <w:t xml:space="preserve">Este comportamiento es similar al presentado por la PET nacional, la cual pasó a representar el 74,9% de la población total en el 2001 al 79% en el </w:t>
      </w:r>
      <w:r w:rsidRPr="00796AAC">
        <w:rPr>
          <w:rFonts w:ascii="Arial" w:eastAsiaTheme="minorHAnsi" w:hAnsi="Arial" w:cs="Arial"/>
          <w:lang w:val="es-CO"/>
        </w:rPr>
        <w:t xml:space="preserve">2012 (Gráfico </w:t>
      </w:r>
      <w:r w:rsidR="001E7CCA" w:rsidRPr="000E62F2">
        <w:rPr>
          <w:rFonts w:ascii="Arial" w:eastAsiaTheme="minorHAnsi" w:hAnsi="Arial" w:cs="Arial"/>
          <w:lang w:val="es-CO"/>
        </w:rPr>
        <w:t>10</w:t>
      </w:r>
      <w:r w:rsidRPr="000E62F2">
        <w:rPr>
          <w:rFonts w:ascii="Arial" w:eastAsiaTheme="minorHAnsi" w:hAnsi="Arial" w:cs="Arial"/>
          <w:lang w:val="es-CO"/>
        </w:rPr>
        <w:t>).</w:t>
      </w: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B75C85" w:rsidRPr="00F57C80" w:rsidRDefault="00F57C80" w:rsidP="00F57C80">
      <w:pPr>
        <w:pStyle w:val="Epgrafe"/>
        <w:jc w:val="center"/>
        <w:rPr>
          <w:rFonts w:ascii="Arial" w:hAnsi="Arial" w:cs="Arial"/>
          <w:color w:val="auto"/>
          <w:sz w:val="22"/>
          <w:szCs w:val="22"/>
        </w:rPr>
      </w:pPr>
      <w:bookmarkStart w:id="67" w:name="_Toc389666966"/>
      <w:r w:rsidRPr="000E62F2">
        <w:rPr>
          <w:rFonts w:ascii="Arial" w:hAnsi="Arial" w:cs="Arial"/>
          <w:color w:val="auto"/>
          <w:sz w:val="22"/>
          <w:szCs w:val="22"/>
        </w:rPr>
        <w:t xml:space="preserve">Gráfico </w:t>
      </w:r>
      <w:r w:rsidRPr="000E62F2">
        <w:rPr>
          <w:rFonts w:ascii="Arial" w:hAnsi="Arial" w:cs="Arial"/>
          <w:color w:val="auto"/>
          <w:sz w:val="22"/>
          <w:szCs w:val="22"/>
        </w:rPr>
        <w:fldChar w:fldCharType="begin"/>
      </w:r>
      <w:r w:rsidRPr="000E62F2">
        <w:rPr>
          <w:rFonts w:ascii="Arial" w:hAnsi="Arial" w:cs="Arial"/>
          <w:color w:val="auto"/>
          <w:sz w:val="22"/>
          <w:szCs w:val="22"/>
        </w:rPr>
        <w:instrText xml:space="preserve"> SEQ Gráfico \* ARABIC </w:instrText>
      </w:r>
      <w:r w:rsidRPr="000E62F2">
        <w:rPr>
          <w:rFonts w:ascii="Arial" w:hAnsi="Arial" w:cs="Arial"/>
          <w:color w:val="auto"/>
          <w:sz w:val="22"/>
          <w:szCs w:val="22"/>
        </w:rPr>
        <w:fldChar w:fldCharType="separate"/>
      </w:r>
      <w:r w:rsidR="00D9744C" w:rsidRPr="000E62F2">
        <w:rPr>
          <w:rFonts w:ascii="Arial" w:hAnsi="Arial" w:cs="Arial"/>
          <w:noProof/>
          <w:color w:val="auto"/>
          <w:sz w:val="22"/>
          <w:szCs w:val="22"/>
        </w:rPr>
        <w:t>10</w:t>
      </w:r>
      <w:r w:rsidRPr="000E62F2">
        <w:rPr>
          <w:rFonts w:ascii="Arial" w:hAnsi="Arial" w:cs="Arial"/>
          <w:color w:val="auto"/>
          <w:sz w:val="22"/>
          <w:szCs w:val="22"/>
        </w:rPr>
        <w:fldChar w:fldCharType="end"/>
      </w:r>
      <w:r w:rsidRPr="00796AAC">
        <w:rPr>
          <w:rFonts w:ascii="Arial" w:hAnsi="Arial" w:cs="Arial"/>
          <w:color w:val="auto"/>
          <w:sz w:val="22"/>
          <w:szCs w:val="22"/>
        </w:rPr>
        <w:t>.</w:t>
      </w:r>
      <w:r w:rsidRPr="00F57C80">
        <w:rPr>
          <w:rFonts w:ascii="Arial" w:hAnsi="Arial" w:cs="Arial"/>
          <w:color w:val="auto"/>
          <w:sz w:val="22"/>
          <w:szCs w:val="22"/>
        </w:rPr>
        <w:t xml:space="preserve"> </w:t>
      </w:r>
      <w:r w:rsidR="00B75C85" w:rsidRPr="00F57C80">
        <w:rPr>
          <w:rFonts w:ascii="Arial" w:hAnsi="Arial" w:cs="Arial"/>
          <w:color w:val="auto"/>
          <w:sz w:val="22"/>
          <w:szCs w:val="22"/>
        </w:rPr>
        <w:t>Participación de población en edad de trabajar en la población total. Nacional, Bolívar, Áreas metropolitanas. 2001 – 2012</w:t>
      </w:r>
      <w:bookmarkEnd w:id="67"/>
    </w:p>
    <w:p w:rsidR="00B75C85" w:rsidRDefault="00B75C85" w:rsidP="00B75C85"/>
    <w:p w:rsidR="00B75C85" w:rsidRDefault="00B75C85" w:rsidP="00B75C85">
      <w:pPr>
        <w:jc w:val="center"/>
      </w:pPr>
      <w:r>
        <w:rPr>
          <w:noProof/>
          <w:lang w:eastAsia="es-ES"/>
        </w:rPr>
        <w:drawing>
          <wp:inline distT="0" distB="0" distL="0" distR="0" wp14:anchorId="14BA12BD" wp14:editId="416D90E3">
            <wp:extent cx="2762250" cy="2543175"/>
            <wp:effectExtent l="0" t="0" r="0" b="0"/>
            <wp:docPr id="16"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eastAsia="es-ES"/>
        </w:rPr>
        <w:drawing>
          <wp:inline distT="0" distB="0" distL="0" distR="0" wp14:anchorId="235C1F18" wp14:editId="2021B243">
            <wp:extent cx="2781300" cy="2628900"/>
            <wp:effectExtent l="0" t="0" r="0" b="0"/>
            <wp:docPr id="25"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5C85" w:rsidRPr="00F57C80" w:rsidRDefault="00B75C85" w:rsidP="00B75C85">
      <w:pPr>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B75C85" w:rsidRDefault="00B75C85" w:rsidP="00B75C85">
      <w:pPr>
        <w:jc w:val="center"/>
        <w:rPr>
          <w:rFonts w:ascii="Arial" w:eastAsiaTheme="minorHAnsi" w:hAnsi="Arial" w:cs="Arial"/>
          <w:sz w:val="16"/>
          <w:szCs w:val="16"/>
          <w:lang w:val="es-CO"/>
        </w:rPr>
      </w:pPr>
    </w:p>
    <w:p w:rsidR="00B75C85" w:rsidRDefault="00570699" w:rsidP="00B75C85">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Al observar los datos de la capital departamental, se aprecia que d</w:t>
      </w:r>
      <w:r w:rsidR="00B75C85" w:rsidRPr="000501AB">
        <w:rPr>
          <w:rFonts w:ascii="Arial" w:eastAsiaTheme="minorHAnsi" w:hAnsi="Arial" w:cs="Arial"/>
          <w:lang w:val="es-CO"/>
        </w:rPr>
        <w:t xml:space="preserve">urante el año 2012, Cartagena comparada con otras áreas metropolitanas, fue la cuarta ciudad con menor participación de su </w:t>
      </w:r>
      <w:r>
        <w:rPr>
          <w:rFonts w:ascii="Arial" w:eastAsiaTheme="minorHAnsi" w:hAnsi="Arial" w:cs="Arial"/>
          <w:lang w:val="es-CO"/>
        </w:rPr>
        <w:t>p</w:t>
      </w:r>
      <w:r w:rsidR="00B75C85" w:rsidRPr="000501AB">
        <w:rPr>
          <w:rFonts w:ascii="Arial" w:eastAsiaTheme="minorHAnsi" w:hAnsi="Arial" w:cs="Arial"/>
          <w:lang w:val="es-CO"/>
        </w:rPr>
        <w:t xml:space="preserve">oblación en </w:t>
      </w:r>
      <w:r>
        <w:rPr>
          <w:rFonts w:ascii="Arial" w:eastAsiaTheme="minorHAnsi" w:hAnsi="Arial" w:cs="Arial"/>
          <w:lang w:val="es-CO"/>
        </w:rPr>
        <w:t>e</w:t>
      </w:r>
      <w:r w:rsidR="00B75C85" w:rsidRPr="000501AB">
        <w:rPr>
          <w:rFonts w:ascii="Arial" w:eastAsiaTheme="minorHAnsi" w:hAnsi="Arial" w:cs="Arial"/>
          <w:lang w:val="es-CO"/>
        </w:rPr>
        <w:t xml:space="preserve">dad de </w:t>
      </w:r>
      <w:r>
        <w:rPr>
          <w:rFonts w:ascii="Arial" w:eastAsiaTheme="minorHAnsi" w:hAnsi="Arial" w:cs="Arial"/>
          <w:lang w:val="es-CO"/>
        </w:rPr>
        <w:t>t</w:t>
      </w:r>
      <w:r w:rsidR="00B75C85" w:rsidRPr="000501AB">
        <w:rPr>
          <w:rFonts w:ascii="Arial" w:eastAsiaTheme="minorHAnsi" w:hAnsi="Arial" w:cs="Arial"/>
          <w:lang w:val="es-CO"/>
        </w:rPr>
        <w:t>rabajar (78,6%) en la población total. Sólo Cúcuta (77,8%), Montería (77,9%) y Villavicencio (78,0%) estuvieron por debajo de la participación presentada por Cartagena.</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0501AB">
        <w:rPr>
          <w:rFonts w:ascii="Arial" w:eastAsiaTheme="minorHAnsi" w:hAnsi="Arial" w:cs="Arial"/>
          <w:lang w:val="es-CO"/>
        </w:rPr>
        <w:t>La Población Económicamente Activa (PEA) en el departamento de Bolívar durante el año 2012 fue de 928.304 personas, cifra que representaba el 3% de la PEA nacional para el mismo año.</w:t>
      </w:r>
      <w:r>
        <w:rPr>
          <w:rFonts w:ascii="Arial" w:eastAsiaTheme="minorHAnsi" w:hAnsi="Arial" w:cs="Arial"/>
          <w:lang w:val="es-CO"/>
        </w:rPr>
        <w:t xml:space="preserve"> </w:t>
      </w:r>
      <w:r w:rsidRPr="000501AB">
        <w:rPr>
          <w:rFonts w:ascii="Arial" w:eastAsiaTheme="minorHAnsi" w:hAnsi="Arial" w:cs="Arial"/>
          <w:lang w:val="es-CO"/>
        </w:rPr>
        <w:t>En Bolívar, entre los años 2001 y 2012 el crecimiento promedio de la PEA (2,2%) fue mayor al presentado por la PET (1,5%), lo que indica que durante el período analizado hubo un aumento de la tasa de participación laboral.</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1E7CCA" w:rsidRDefault="001E7CCA" w:rsidP="00B75C85">
      <w:pPr>
        <w:autoSpaceDE w:val="0"/>
        <w:autoSpaceDN w:val="0"/>
        <w:adjustRightInd w:val="0"/>
        <w:spacing w:line="276" w:lineRule="auto"/>
        <w:jc w:val="center"/>
        <w:rPr>
          <w:rFonts w:ascii="Arial" w:eastAsiaTheme="minorHAnsi" w:hAnsi="Arial" w:cs="Arial"/>
          <w:sz w:val="24"/>
          <w:lang w:val="es-CO"/>
        </w:rPr>
      </w:pPr>
    </w:p>
    <w:p w:rsidR="001E7CCA" w:rsidRDefault="001E7CCA" w:rsidP="00B75C85">
      <w:pPr>
        <w:autoSpaceDE w:val="0"/>
        <w:autoSpaceDN w:val="0"/>
        <w:adjustRightInd w:val="0"/>
        <w:spacing w:line="276" w:lineRule="auto"/>
        <w:jc w:val="center"/>
        <w:rPr>
          <w:rFonts w:ascii="Arial" w:eastAsiaTheme="minorHAnsi" w:hAnsi="Arial" w:cs="Arial"/>
          <w:sz w:val="24"/>
          <w:lang w:val="es-CO"/>
        </w:rPr>
      </w:pPr>
    </w:p>
    <w:p w:rsidR="001E7CCA" w:rsidRDefault="001E7CCA" w:rsidP="00B75C85">
      <w:pPr>
        <w:autoSpaceDE w:val="0"/>
        <w:autoSpaceDN w:val="0"/>
        <w:adjustRightInd w:val="0"/>
        <w:spacing w:line="276" w:lineRule="auto"/>
        <w:jc w:val="center"/>
        <w:rPr>
          <w:rFonts w:ascii="Arial" w:eastAsiaTheme="minorHAnsi" w:hAnsi="Arial" w:cs="Arial"/>
          <w:sz w:val="24"/>
          <w:lang w:val="es-CO"/>
        </w:rPr>
      </w:pPr>
    </w:p>
    <w:p w:rsidR="001E7CCA" w:rsidRDefault="001E7CCA"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Default="00F57C80" w:rsidP="00B75C85">
      <w:pPr>
        <w:autoSpaceDE w:val="0"/>
        <w:autoSpaceDN w:val="0"/>
        <w:adjustRightInd w:val="0"/>
        <w:spacing w:line="276" w:lineRule="auto"/>
        <w:jc w:val="center"/>
        <w:rPr>
          <w:rFonts w:ascii="Arial" w:eastAsiaTheme="minorHAnsi" w:hAnsi="Arial" w:cs="Arial"/>
          <w:sz w:val="24"/>
          <w:lang w:val="es-CO"/>
        </w:rPr>
      </w:pPr>
    </w:p>
    <w:p w:rsidR="00F57C80" w:rsidRPr="000501AB" w:rsidRDefault="00F57C80" w:rsidP="00B75C85">
      <w:pPr>
        <w:autoSpaceDE w:val="0"/>
        <w:autoSpaceDN w:val="0"/>
        <w:adjustRightInd w:val="0"/>
        <w:spacing w:line="276" w:lineRule="auto"/>
        <w:jc w:val="center"/>
        <w:rPr>
          <w:rFonts w:ascii="Arial" w:eastAsiaTheme="minorHAnsi" w:hAnsi="Arial" w:cs="Arial"/>
          <w:sz w:val="24"/>
          <w:lang w:val="es-CO"/>
        </w:rPr>
      </w:pPr>
    </w:p>
    <w:p w:rsidR="00B75C85" w:rsidRPr="00F57C80" w:rsidRDefault="00B75C85" w:rsidP="00B75C85">
      <w:pPr>
        <w:pStyle w:val="Epgrafe"/>
        <w:jc w:val="center"/>
        <w:rPr>
          <w:rFonts w:ascii="Arial" w:eastAsiaTheme="minorHAnsi" w:hAnsi="Arial" w:cs="Arial"/>
          <w:color w:val="auto"/>
          <w:sz w:val="22"/>
          <w:szCs w:val="22"/>
          <w:lang w:val="es-CO"/>
        </w:rPr>
      </w:pPr>
      <w:bookmarkStart w:id="68" w:name="_Toc389666967"/>
      <w:r w:rsidRPr="000E62F2">
        <w:rPr>
          <w:rFonts w:ascii="Arial" w:hAnsi="Arial" w:cs="Arial"/>
          <w:color w:val="auto"/>
          <w:sz w:val="22"/>
          <w:szCs w:val="22"/>
        </w:rPr>
        <w:t xml:space="preserve">Gráfico </w:t>
      </w:r>
      <w:r w:rsidRPr="000E62F2">
        <w:rPr>
          <w:rFonts w:ascii="Arial" w:hAnsi="Arial" w:cs="Arial"/>
          <w:color w:val="auto"/>
          <w:sz w:val="22"/>
          <w:szCs w:val="22"/>
        </w:rPr>
        <w:fldChar w:fldCharType="begin"/>
      </w:r>
      <w:r w:rsidRPr="000E62F2">
        <w:rPr>
          <w:rFonts w:ascii="Arial" w:hAnsi="Arial" w:cs="Arial"/>
          <w:color w:val="auto"/>
          <w:sz w:val="22"/>
          <w:szCs w:val="22"/>
        </w:rPr>
        <w:instrText xml:space="preserve"> SEQ Gráfico \* ARABIC </w:instrText>
      </w:r>
      <w:r w:rsidRPr="000E62F2">
        <w:rPr>
          <w:rFonts w:ascii="Arial" w:hAnsi="Arial" w:cs="Arial"/>
          <w:color w:val="auto"/>
          <w:sz w:val="22"/>
          <w:szCs w:val="22"/>
        </w:rPr>
        <w:fldChar w:fldCharType="separate"/>
      </w:r>
      <w:r w:rsidR="00D9744C" w:rsidRPr="000E62F2">
        <w:rPr>
          <w:rFonts w:ascii="Arial" w:hAnsi="Arial" w:cs="Arial"/>
          <w:noProof/>
          <w:color w:val="auto"/>
          <w:sz w:val="22"/>
          <w:szCs w:val="22"/>
        </w:rPr>
        <w:t>11</w:t>
      </w:r>
      <w:r w:rsidRPr="000E62F2">
        <w:rPr>
          <w:rFonts w:ascii="Arial" w:hAnsi="Arial" w:cs="Arial"/>
          <w:color w:val="auto"/>
          <w:sz w:val="22"/>
          <w:szCs w:val="22"/>
        </w:rPr>
        <w:fldChar w:fldCharType="end"/>
      </w:r>
      <w:r w:rsidR="00F57C80" w:rsidRPr="000E62F2">
        <w:rPr>
          <w:rFonts w:ascii="Arial" w:hAnsi="Arial" w:cs="Arial"/>
          <w:color w:val="auto"/>
          <w:sz w:val="22"/>
          <w:szCs w:val="22"/>
        </w:rPr>
        <w:t>.</w:t>
      </w:r>
      <w:r w:rsidRPr="000E62F2">
        <w:rPr>
          <w:rFonts w:ascii="Arial" w:hAnsi="Arial" w:cs="Arial"/>
          <w:color w:val="auto"/>
          <w:sz w:val="22"/>
          <w:szCs w:val="22"/>
        </w:rPr>
        <w:t xml:space="preserve"> Población</w:t>
      </w:r>
      <w:r w:rsidRPr="00F57C80">
        <w:rPr>
          <w:rFonts w:ascii="Arial" w:hAnsi="Arial" w:cs="Arial"/>
          <w:color w:val="auto"/>
          <w:sz w:val="22"/>
          <w:szCs w:val="22"/>
        </w:rPr>
        <w:t xml:space="preserve"> Económicamente Inactiva. Bolívar 2001 – 2012</w:t>
      </w:r>
      <w:bookmarkEnd w:id="68"/>
    </w:p>
    <w:p w:rsidR="00B75C85" w:rsidRDefault="00B75C85" w:rsidP="00B75C85">
      <w:pPr>
        <w:autoSpaceDE w:val="0"/>
        <w:autoSpaceDN w:val="0"/>
        <w:adjustRightInd w:val="0"/>
        <w:spacing w:line="276" w:lineRule="auto"/>
        <w:jc w:val="both"/>
        <w:rPr>
          <w:rFonts w:ascii="Arial" w:hAnsi="Arial" w:cs="Arial"/>
        </w:rPr>
      </w:pPr>
      <w:r>
        <w:rPr>
          <w:noProof/>
          <w:lang w:eastAsia="es-ES"/>
        </w:rPr>
        <w:drawing>
          <wp:inline distT="0" distB="0" distL="0" distR="0" wp14:anchorId="542E1C41" wp14:editId="07FEBE96">
            <wp:extent cx="5612130" cy="2809875"/>
            <wp:effectExtent l="0" t="0" r="7620" b="0"/>
            <wp:docPr id="29"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75C85" w:rsidRPr="00F57C80"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B75C85" w:rsidRPr="000501AB" w:rsidRDefault="00B75C85" w:rsidP="00B75C85">
      <w:pPr>
        <w:autoSpaceDE w:val="0"/>
        <w:autoSpaceDN w:val="0"/>
        <w:adjustRightInd w:val="0"/>
        <w:spacing w:line="276" w:lineRule="auto"/>
        <w:jc w:val="both"/>
        <w:rPr>
          <w:rFonts w:ascii="Arial" w:eastAsiaTheme="minorHAnsi" w:hAnsi="Arial" w:cs="Arial"/>
          <w:lang w:val="es-CO"/>
        </w:rPr>
      </w:pPr>
    </w:p>
    <w:p w:rsidR="00570699" w:rsidRDefault="00B75C85" w:rsidP="00B75C85">
      <w:pPr>
        <w:autoSpaceDE w:val="0"/>
        <w:autoSpaceDN w:val="0"/>
        <w:adjustRightInd w:val="0"/>
        <w:spacing w:line="276" w:lineRule="auto"/>
        <w:jc w:val="both"/>
        <w:rPr>
          <w:rFonts w:ascii="Arial" w:eastAsiaTheme="minorHAnsi" w:hAnsi="Arial" w:cs="Arial"/>
          <w:lang w:val="es-CO"/>
        </w:rPr>
      </w:pPr>
      <w:r w:rsidRPr="000501AB">
        <w:rPr>
          <w:rFonts w:ascii="Arial" w:eastAsiaTheme="minorHAnsi" w:hAnsi="Arial" w:cs="Arial"/>
          <w:lang w:val="es-CO"/>
        </w:rPr>
        <w:t xml:space="preserve">Por otro lado, en Bolívar la Población Económicamente Inactiva (PEI) en el año 2012 fue de 624.560 personas (Gráfico </w:t>
      </w:r>
      <w:r w:rsidR="001E7CCA">
        <w:rPr>
          <w:rFonts w:ascii="Arial" w:eastAsiaTheme="minorHAnsi" w:hAnsi="Arial" w:cs="Arial"/>
          <w:lang w:val="es-CO"/>
        </w:rPr>
        <w:t>11</w:t>
      </w:r>
      <w:r w:rsidRPr="000501AB">
        <w:rPr>
          <w:rFonts w:ascii="Arial" w:eastAsiaTheme="minorHAnsi" w:hAnsi="Arial" w:cs="Arial"/>
          <w:lang w:val="es-CO"/>
        </w:rPr>
        <w:t xml:space="preserve">), de las cuales el 47% eran estudiantes y el 44% amas de casa. </w:t>
      </w:r>
    </w:p>
    <w:p w:rsidR="00570699" w:rsidRDefault="00570699"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0501AB">
        <w:rPr>
          <w:rFonts w:ascii="Arial" w:eastAsiaTheme="minorHAnsi" w:hAnsi="Arial" w:cs="Arial"/>
          <w:lang w:val="es-CO"/>
        </w:rPr>
        <w:t xml:space="preserve">Después de un comportamiento relativamente estable de la PEI entre los años 2001 y 2007, esta población comenzó a experimentar una tendencia a la baja llegando a caer en el año 2012 un 17%. La situación anterior sustenta la hipótesis de que el incremento de la fuerza laboral obedece al paso de estas personas a la población económicamente activa </w:t>
      </w:r>
      <w:r w:rsidRPr="00796AAC">
        <w:rPr>
          <w:rFonts w:ascii="Arial" w:eastAsiaTheme="minorHAnsi" w:hAnsi="Arial" w:cs="Arial"/>
          <w:lang w:val="es-CO"/>
        </w:rPr>
        <w:t xml:space="preserve">(Gráfico </w:t>
      </w:r>
      <w:r w:rsidR="001E7CCA" w:rsidRPr="000E62F2">
        <w:rPr>
          <w:rFonts w:ascii="Arial" w:eastAsiaTheme="minorHAnsi" w:hAnsi="Arial" w:cs="Arial"/>
          <w:lang w:val="es-CO"/>
        </w:rPr>
        <w:t>12</w:t>
      </w:r>
      <w:r w:rsidRPr="00796AAC">
        <w:rPr>
          <w:rFonts w:ascii="Arial" w:eastAsiaTheme="minorHAnsi" w:hAnsi="Arial" w:cs="Arial"/>
          <w:lang w:val="es-CO"/>
        </w:rPr>
        <w:t>).</w:t>
      </w:r>
      <w:r>
        <w:rPr>
          <w:rFonts w:ascii="Arial" w:eastAsiaTheme="minorHAnsi" w:hAnsi="Arial" w:cs="Arial"/>
          <w:lang w:val="es-CO"/>
        </w:rPr>
        <w:t xml:space="preserve"> </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796AAC" w:rsidRDefault="00796AAC" w:rsidP="00B75C85">
      <w:pPr>
        <w:autoSpaceDE w:val="0"/>
        <w:autoSpaceDN w:val="0"/>
        <w:adjustRightInd w:val="0"/>
        <w:spacing w:line="276" w:lineRule="auto"/>
        <w:jc w:val="both"/>
        <w:rPr>
          <w:rFonts w:ascii="Arial" w:eastAsiaTheme="minorHAnsi" w:hAnsi="Arial" w:cs="Arial"/>
          <w:lang w:val="es-CO"/>
        </w:rPr>
      </w:pPr>
    </w:p>
    <w:p w:rsidR="00796AAC" w:rsidRDefault="00796AAC" w:rsidP="00B75C85">
      <w:pPr>
        <w:autoSpaceDE w:val="0"/>
        <w:autoSpaceDN w:val="0"/>
        <w:adjustRightInd w:val="0"/>
        <w:spacing w:line="276" w:lineRule="auto"/>
        <w:jc w:val="both"/>
        <w:rPr>
          <w:rFonts w:ascii="Arial" w:eastAsiaTheme="minorHAnsi" w:hAnsi="Arial" w:cs="Arial"/>
          <w:lang w:val="es-CO"/>
        </w:rPr>
      </w:pPr>
    </w:p>
    <w:p w:rsidR="00796AAC" w:rsidRDefault="00796AAC"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B75C85" w:rsidRPr="00661885" w:rsidRDefault="00B75C85" w:rsidP="00661885">
      <w:pPr>
        <w:pStyle w:val="Epgrafe"/>
        <w:jc w:val="center"/>
        <w:rPr>
          <w:rFonts w:ascii="Arial" w:hAnsi="Arial" w:cs="Arial"/>
          <w:color w:val="auto"/>
          <w:sz w:val="22"/>
          <w:szCs w:val="22"/>
        </w:rPr>
      </w:pPr>
      <w:bookmarkStart w:id="69" w:name="_Toc389666968"/>
      <w:r w:rsidRPr="00661885">
        <w:rPr>
          <w:rFonts w:ascii="Arial" w:hAnsi="Arial" w:cs="Arial"/>
          <w:color w:val="auto"/>
          <w:sz w:val="22"/>
          <w:szCs w:val="22"/>
        </w:rPr>
        <w:t xml:space="preserve">Gráfico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Gráfico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12</w:t>
      </w:r>
      <w:r w:rsidRPr="00661885">
        <w:rPr>
          <w:rFonts w:ascii="Arial" w:hAnsi="Arial" w:cs="Arial"/>
          <w:color w:val="auto"/>
          <w:sz w:val="22"/>
          <w:szCs w:val="22"/>
        </w:rPr>
        <w:fldChar w:fldCharType="end"/>
      </w:r>
      <w:r w:rsidR="00F57C80" w:rsidRPr="00661885">
        <w:rPr>
          <w:rFonts w:ascii="Arial" w:hAnsi="Arial" w:cs="Arial"/>
          <w:color w:val="auto"/>
          <w:sz w:val="22"/>
          <w:szCs w:val="22"/>
        </w:rPr>
        <w:t>.</w:t>
      </w:r>
      <w:r w:rsidRPr="00661885">
        <w:rPr>
          <w:rFonts w:ascii="Arial" w:hAnsi="Arial" w:cs="Arial"/>
          <w:color w:val="auto"/>
          <w:sz w:val="22"/>
          <w:szCs w:val="22"/>
        </w:rPr>
        <w:t xml:space="preserve"> Tasa Global de Participación. Nacional, Bolívar y Cartagena (2001 - 2012)</w:t>
      </w:r>
      <w:bookmarkEnd w:id="69"/>
    </w:p>
    <w:p w:rsidR="00B75C85" w:rsidRDefault="00B75C85" w:rsidP="00B75C85">
      <w:pPr>
        <w:autoSpaceDE w:val="0"/>
        <w:autoSpaceDN w:val="0"/>
        <w:adjustRightInd w:val="0"/>
        <w:spacing w:line="276" w:lineRule="auto"/>
        <w:jc w:val="center"/>
        <w:rPr>
          <w:rFonts w:ascii="Arial" w:hAnsi="Arial" w:cs="Arial"/>
        </w:rPr>
      </w:pPr>
      <w:r>
        <w:rPr>
          <w:noProof/>
          <w:lang w:eastAsia="es-ES"/>
        </w:rPr>
        <w:drawing>
          <wp:inline distT="0" distB="0" distL="0" distR="0" wp14:anchorId="02A79784" wp14:editId="726C4BC9">
            <wp:extent cx="5334000" cy="2781300"/>
            <wp:effectExtent l="0" t="0" r="0" b="0"/>
            <wp:docPr id="40"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75C85" w:rsidRDefault="00B75C85" w:rsidP="00B75C85">
      <w:pPr>
        <w:autoSpaceDE w:val="0"/>
        <w:autoSpaceDN w:val="0"/>
        <w:adjustRightInd w:val="0"/>
        <w:spacing w:line="276" w:lineRule="auto"/>
        <w:jc w:val="center"/>
        <w:rPr>
          <w:rFonts w:ascii="Arial" w:eastAsiaTheme="minorHAnsi" w:hAnsi="Arial" w:cs="Arial"/>
          <w:sz w:val="18"/>
          <w:szCs w:val="16"/>
          <w:lang w:val="es-CO"/>
        </w:rPr>
      </w:pPr>
      <w:r w:rsidRPr="00472361">
        <w:rPr>
          <w:rFonts w:ascii="Arial" w:eastAsiaTheme="minorHAnsi" w:hAnsi="Arial" w:cs="Arial"/>
          <w:sz w:val="18"/>
          <w:szCs w:val="16"/>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 w:val="18"/>
          <w:szCs w:val="16"/>
          <w:lang w:val="es-CO"/>
        </w:rPr>
      </w:pPr>
    </w:p>
    <w:p w:rsidR="00570699" w:rsidRDefault="00570699" w:rsidP="00570699">
      <w:pPr>
        <w:autoSpaceDE w:val="0"/>
        <w:autoSpaceDN w:val="0"/>
        <w:adjustRightInd w:val="0"/>
        <w:spacing w:line="276" w:lineRule="auto"/>
        <w:jc w:val="both"/>
        <w:rPr>
          <w:rFonts w:ascii="Arial" w:eastAsiaTheme="minorHAnsi" w:hAnsi="Arial" w:cs="Arial"/>
          <w:lang w:val="es-CO"/>
        </w:rPr>
      </w:pPr>
      <w:r w:rsidRPr="000501AB">
        <w:rPr>
          <w:rFonts w:ascii="Arial" w:eastAsiaTheme="minorHAnsi" w:hAnsi="Arial" w:cs="Arial"/>
          <w:lang w:val="es-CO"/>
        </w:rPr>
        <w:t>La Tasa Global de Participación (TGP) en el departamento de Bolívar se ubicó en el año 2012 en 59,8%, es decir, que aproximadamente 60 de cada 100 personas en edad de trabajar estaban participando en el mercado laboral. Para este mismo año, la TGP en el país y Cartagena fue de 60,6% y 64,6%, respectivamente, mostrando una mayor presión de la PET sobre el mercado laboral local y nacional.</w:t>
      </w:r>
    </w:p>
    <w:p w:rsidR="00570699" w:rsidRDefault="00570699" w:rsidP="00570699">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472361">
        <w:rPr>
          <w:rFonts w:ascii="Arial" w:eastAsiaTheme="minorHAnsi" w:hAnsi="Arial" w:cs="Arial"/>
          <w:lang w:val="es-CO"/>
        </w:rPr>
        <w:t xml:space="preserve">En el año 2012, Bolívar se ubicó como el tercer departamento con la TGP más alta de la región Caribe (Gráfico </w:t>
      </w:r>
      <w:r w:rsidR="001E7CCA">
        <w:rPr>
          <w:rFonts w:ascii="Arial" w:eastAsiaTheme="minorHAnsi" w:hAnsi="Arial" w:cs="Arial"/>
          <w:lang w:val="es-CO"/>
        </w:rPr>
        <w:t>13</w:t>
      </w:r>
      <w:r>
        <w:rPr>
          <w:rFonts w:ascii="Arial" w:eastAsiaTheme="minorHAnsi" w:hAnsi="Arial" w:cs="Arial"/>
          <w:lang w:val="es-CO"/>
        </w:rPr>
        <w:t>)</w:t>
      </w:r>
      <w:r w:rsidRPr="00472361">
        <w:rPr>
          <w:rFonts w:ascii="Arial" w:eastAsiaTheme="minorHAnsi" w:hAnsi="Arial" w:cs="Arial"/>
          <w:lang w:val="es-CO"/>
        </w:rPr>
        <w:t>, superado solamente por Córdoba (63,3%) y La Guajira (71,7%).</w:t>
      </w:r>
    </w:p>
    <w:p w:rsidR="00B75C85" w:rsidRPr="00F57C80" w:rsidRDefault="00B75C85" w:rsidP="00F57C80">
      <w:pPr>
        <w:autoSpaceDE w:val="0"/>
        <w:autoSpaceDN w:val="0"/>
        <w:adjustRightInd w:val="0"/>
        <w:spacing w:line="276" w:lineRule="auto"/>
        <w:jc w:val="center"/>
        <w:rPr>
          <w:rFonts w:ascii="Arial" w:eastAsiaTheme="minorHAnsi" w:hAnsi="Arial" w:cs="Arial"/>
          <w:b/>
          <w:lang w:val="es-CO"/>
        </w:rPr>
      </w:pPr>
    </w:p>
    <w:p w:rsidR="00B75C85" w:rsidRPr="00661885" w:rsidRDefault="00B75C85" w:rsidP="00661885">
      <w:pPr>
        <w:pStyle w:val="Epgrafe"/>
        <w:jc w:val="center"/>
        <w:rPr>
          <w:rFonts w:ascii="Arial" w:hAnsi="Arial" w:cs="Arial"/>
          <w:color w:val="auto"/>
          <w:sz w:val="22"/>
          <w:szCs w:val="22"/>
        </w:rPr>
      </w:pPr>
      <w:bookmarkStart w:id="70" w:name="_Toc389666969"/>
      <w:r w:rsidRPr="00661885">
        <w:rPr>
          <w:rFonts w:ascii="Arial" w:hAnsi="Arial" w:cs="Arial"/>
          <w:color w:val="auto"/>
          <w:sz w:val="22"/>
          <w:szCs w:val="22"/>
        </w:rPr>
        <w:t xml:space="preserve">Gráfico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Gráfico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13</w:t>
      </w:r>
      <w:r w:rsidRPr="00661885">
        <w:rPr>
          <w:rFonts w:ascii="Arial" w:hAnsi="Arial" w:cs="Arial"/>
          <w:color w:val="auto"/>
          <w:sz w:val="22"/>
          <w:szCs w:val="22"/>
        </w:rPr>
        <w:fldChar w:fldCharType="end"/>
      </w:r>
      <w:r w:rsidR="00F57C80" w:rsidRPr="00661885">
        <w:rPr>
          <w:rFonts w:ascii="Arial" w:hAnsi="Arial" w:cs="Arial"/>
          <w:color w:val="auto"/>
          <w:sz w:val="22"/>
          <w:szCs w:val="22"/>
        </w:rPr>
        <w:t>.</w:t>
      </w:r>
      <w:r w:rsidRPr="00661885">
        <w:rPr>
          <w:rFonts w:ascii="Arial" w:hAnsi="Arial" w:cs="Arial"/>
          <w:color w:val="auto"/>
          <w:sz w:val="22"/>
          <w:szCs w:val="22"/>
        </w:rPr>
        <w:t xml:space="preserve"> Tasa Global de Participación. Nacional, Región Caribe y 13 Áreas metropolitanas (2011 - 2012)</w:t>
      </w:r>
      <w:bookmarkEnd w:id="70"/>
    </w:p>
    <w:p w:rsidR="00B75C85" w:rsidRDefault="00B75C85" w:rsidP="00B75C85">
      <w:pPr>
        <w:autoSpaceDE w:val="0"/>
        <w:autoSpaceDN w:val="0"/>
        <w:adjustRightInd w:val="0"/>
        <w:spacing w:line="276" w:lineRule="auto"/>
        <w:jc w:val="center"/>
        <w:rPr>
          <w:rFonts w:ascii="Arial" w:hAnsi="Arial" w:cs="Arial"/>
        </w:rPr>
      </w:pPr>
      <w:r>
        <w:rPr>
          <w:noProof/>
          <w:lang w:eastAsia="es-ES"/>
        </w:rPr>
        <w:drawing>
          <wp:inline distT="0" distB="0" distL="0" distR="0" wp14:anchorId="5063822C" wp14:editId="1485B1F8">
            <wp:extent cx="2536466" cy="2520564"/>
            <wp:effectExtent l="0" t="0" r="0" b="0"/>
            <wp:docPr id="41"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eastAsia="es-ES"/>
        </w:rPr>
        <w:drawing>
          <wp:inline distT="0" distB="0" distL="0" distR="0" wp14:anchorId="680944B8" wp14:editId="469E2793">
            <wp:extent cx="2926080" cy="2520564"/>
            <wp:effectExtent l="0" t="0" r="0" b="0"/>
            <wp:docPr id="42"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75C85" w:rsidRDefault="00B75C85" w:rsidP="00B75C85">
      <w:pPr>
        <w:autoSpaceDE w:val="0"/>
        <w:autoSpaceDN w:val="0"/>
        <w:adjustRightInd w:val="0"/>
        <w:spacing w:line="276" w:lineRule="auto"/>
        <w:jc w:val="center"/>
        <w:rPr>
          <w:rFonts w:ascii="Arial" w:eastAsiaTheme="minorHAnsi" w:hAnsi="Arial" w:cs="Arial"/>
          <w:sz w:val="18"/>
          <w:szCs w:val="16"/>
          <w:lang w:val="es-CO"/>
        </w:rPr>
      </w:pPr>
      <w:r w:rsidRPr="00B712AE">
        <w:rPr>
          <w:rFonts w:ascii="Arial" w:eastAsiaTheme="minorHAnsi" w:hAnsi="Arial" w:cs="Arial"/>
          <w:sz w:val="18"/>
          <w:szCs w:val="16"/>
          <w:lang w:val="es-CO"/>
        </w:rPr>
        <w:lastRenderedPageBreak/>
        <w:t>Fuente: DANE. Cálculos FUPAD – Ministerio del Trabajo</w:t>
      </w:r>
    </w:p>
    <w:p w:rsidR="00B75C85" w:rsidRPr="00B712AE" w:rsidRDefault="00B75C85" w:rsidP="00B75C85">
      <w:pPr>
        <w:autoSpaceDE w:val="0"/>
        <w:autoSpaceDN w:val="0"/>
        <w:adjustRightInd w:val="0"/>
        <w:spacing w:before="240" w:line="276" w:lineRule="auto"/>
        <w:jc w:val="both"/>
        <w:rPr>
          <w:rFonts w:ascii="Arial" w:eastAsiaTheme="minorHAnsi" w:hAnsi="Arial" w:cs="Arial"/>
          <w:lang w:val="es-CO"/>
        </w:rPr>
      </w:pPr>
      <w:r w:rsidRPr="00B712AE">
        <w:rPr>
          <w:rFonts w:ascii="Arial" w:eastAsiaTheme="minorHAnsi" w:hAnsi="Arial" w:cs="Arial"/>
          <w:lang w:val="es-CO"/>
        </w:rPr>
        <w:t xml:space="preserve">Por su parte, la </w:t>
      </w:r>
      <w:r w:rsidR="001D7E55">
        <w:rPr>
          <w:rFonts w:ascii="Arial" w:eastAsiaTheme="minorHAnsi" w:hAnsi="Arial" w:cs="Arial"/>
          <w:lang w:val="es-CO"/>
        </w:rPr>
        <w:t>t</w:t>
      </w:r>
      <w:r w:rsidRPr="00B712AE">
        <w:rPr>
          <w:rFonts w:ascii="Arial" w:eastAsiaTheme="minorHAnsi" w:hAnsi="Arial" w:cs="Arial"/>
          <w:lang w:val="es-CO"/>
        </w:rPr>
        <w:t xml:space="preserve">asa </w:t>
      </w:r>
      <w:r w:rsidR="001D7E55">
        <w:rPr>
          <w:rFonts w:ascii="Arial" w:eastAsiaTheme="minorHAnsi" w:hAnsi="Arial" w:cs="Arial"/>
          <w:lang w:val="es-CO"/>
        </w:rPr>
        <w:t>g</w:t>
      </w:r>
      <w:r w:rsidRPr="00B712AE">
        <w:rPr>
          <w:rFonts w:ascii="Arial" w:eastAsiaTheme="minorHAnsi" w:hAnsi="Arial" w:cs="Arial"/>
          <w:lang w:val="es-CO"/>
        </w:rPr>
        <w:t xml:space="preserve">lobal de </w:t>
      </w:r>
      <w:r w:rsidR="001D7E55">
        <w:rPr>
          <w:rFonts w:ascii="Arial" w:eastAsiaTheme="minorHAnsi" w:hAnsi="Arial" w:cs="Arial"/>
          <w:lang w:val="es-CO"/>
        </w:rPr>
        <w:t>p</w:t>
      </w:r>
      <w:r w:rsidRPr="00B712AE">
        <w:rPr>
          <w:rFonts w:ascii="Arial" w:eastAsiaTheme="minorHAnsi" w:hAnsi="Arial" w:cs="Arial"/>
          <w:lang w:val="es-CO"/>
        </w:rPr>
        <w:t>articipación en Cartagena en el año 2012 fue la tercera más baja de las trece principales áreas metropolitanas, antecedida por las registradas en Barranquilla (59,3%) y Manizales (58,8%). Adicionalmente, fue la ciudad que presentó de un año a otro el mayor aumento en términos de puntos porcentuales de la TG</w:t>
      </w:r>
      <w:r w:rsidR="001E7CCA">
        <w:rPr>
          <w:rFonts w:ascii="Arial" w:eastAsiaTheme="minorHAnsi" w:hAnsi="Arial" w:cs="Arial"/>
          <w:lang w:val="es-CO"/>
        </w:rPr>
        <w:t>P, el cual fue de 4,4 (Gráfico 13</w:t>
      </w:r>
      <w:r w:rsidRPr="00B712AE">
        <w:rPr>
          <w:rFonts w:ascii="Arial" w:eastAsiaTheme="minorHAnsi" w:hAnsi="Arial" w:cs="Arial"/>
          <w:lang w:val="es-CO"/>
        </w:rPr>
        <w:t>).</w:t>
      </w:r>
    </w:p>
    <w:p w:rsidR="00B75C85" w:rsidRPr="00B712AE"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B712AE">
        <w:rPr>
          <w:rFonts w:ascii="Arial" w:eastAsiaTheme="minorHAnsi" w:hAnsi="Arial" w:cs="Arial"/>
          <w:lang w:val="es-CO"/>
        </w:rPr>
        <w:t>Entre los años 2001 y 2012 la dinámica de la oferta de trabajo en el departamento de Bolívar estuvo influenciada por el ingreso de la población inactiva al mercado laboral, situación que se hace mucho más marcada a partir del año 2008, año en el que el crecimiento económico del departamento comenzó a desacelerarse como producto de la crisis económica.</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B712AE">
        <w:rPr>
          <w:rFonts w:ascii="Arial" w:eastAsiaTheme="minorHAnsi" w:hAnsi="Arial" w:cs="Arial"/>
          <w:lang w:val="es-CO"/>
        </w:rPr>
        <w:t>Esta situación es de gran importancia y tiene una gran implicación, no sólo por el hecho de una mayor presión sobre el mercado laboral, sino que refleja las precarias condiciones económicas de muchos hogares del departamento, lo cual obliga a las amas de casa, a salir a buscar otras opciones de ingreso para el sostenimiento del hogar. Lo anterior, si se tiene en cuenta que una alta proporción del número de personas que pasan de la PEI a la PEA no logran ubicarse en un puesto de trabajo y podrían aumentar los índices de desocupados en el territorio.</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482FA9" w:rsidRDefault="00B75C85" w:rsidP="00482FA9">
      <w:pPr>
        <w:rPr>
          <w:rFonts w:ascii="Arial" w:hAnsi="Arial" w:cs="Arial"/>
          <w:b/>
        </w:rPr>
      </w:pPr>
      <w:r w:rsidRPr="00482FA9">
        <w:rPr>
          <w:rFonts w:ascii="Arial" w:hAnsi="Arial" w:cs="Arial"/>
          <w:b/>
        </w:rPr>
        <w:t>Características de la demanda laboral</w:t>
      </w:r>
    </w:p>
    <w:p w:rsidR="00B75C85" w:rsidRDefault="00B75C85" w:rsidP="00B75C85"/>
    <w:p w:rsidR="00D60114" w:rsidRDefault="00B75C85" w:rsidP="00B75C85">
      <w:pPr>
        <w:autoSpaceDE w:val="0"/>
        <w:autoSpaceDN w:val="0"/>
        <w:adjustRightInd w:val="0"/>
        <w:spacing w:line="276" w:lineRule="auto"/>
        <w:jc w:val="both"/>
        <w:rPr>
          <w:rFonts w:ascii="Arial" w:eastAsiaTheme="minorHAnsi" w:hAnsi="Arial" w:cs="Arial"/>
          <w:lang w:val="es-CO"/>
        </w:rPr>
      </w:pPr>
      <w:r w:rsidRPr="00B712AE">
        <w:rPr>
          <w:rFonts w:ascii="Arial" w:eastAsiaTheme="minorHAnsi" w:hAnsi="Arial" w:cs="Arial"/>
          <w:lang w:val="es-CO"/>
        </w:rPr>
        <w:t xml:space="preserve">La </w:t>
      </w:r>
      <w:r w:rsidR="001D7E55">
        <w:rPr>
          <w:rFonts w:ascii="Arial" w:eastAsiaTheme="minorHAnsi" w:hAnsi="Arial" w:cs="Arial"/>
          <w:lang w:val="es-CO"/>
        </w:rPr>
        <w:t>t</w:t>
      </w:r>
      <w:r w:rsidRPr="00B712AE">
        <w:rPr>
          <w:rFonts w:ascii="Arial" w:eastAsiaTheme="minorHAnsi" w:hAnsi="Arial" w:cs="Arial"/>
          <w:lang w:val="es-CO"/>
        </w:rPr>
        <w:t xml:space="preserve">asa de </w:t>
      </w:r>
      <w:r w:rsidR="001D7E55">
        <w:rPr>
          <w:rFonts w:ascii="Arial" w:eastAsiaTheme="minorHAnsi" w:hAnsi="Arial" w:cs="Arial"/>
          <w:lang w:val="es-CO"/>
        </w:rPr>
        <w:t>o</w:t>
      </w:r>
      <w:r w:rsidRPr="00B712AE">
        <w:rPr>
          <w:rFonts w:ascii="Arial" w:eastAsiaTheme="minorHAnsi" w:hAnsi="Arial" w:cs="Arial"/>
          <w:lang w:val="es-CO"/>
        </w:rPr>
        <w:t xml:space="preserve">cupación (TO) en el departamento de Bolívar para el 2012 se ubicó en 55,2%, es decir, que por cada 100 bolivarenses en edad de trabajar más de 55 estaban </w:t>
      </w:r>
      <w:r w:rsidRPr="00796AAC">
        <w:rPr>
          <w:rFonts w:ascii="Arial" w:eastAsiaTheme="minorHAnsi" w:hAnsi="Arial" w:cs="Arial"/>
          <w:lang w:val="es-CO"/>
        </w:rPr>
        <w:t xml:space="preserve">laborando (Gráfico </w:t>
      </w:r>
      <w:r w:rsidR="001E7CCA" w:rsidRPr="000E62F2">
        <w:rPr>
          <w:rFonts w:ascii="Arial" w:eastAsiaTheme="minorHAnsi" w:hAnsi="Arial" w:cs="Arial"/>
          <w:lang w:val="es-CO"/>
        </w:rPr>
        <w:t>14</w:t>
      </w:r>
      <w:r w:rsidRPr="00796AAC">
        <w:rPr>
          <w:rFonts w:ascii="Arial" w:eastAsiaTheme="minorHAnsi" w:hAnsi="Arial" w:cs="Arial"/>
          <w:lang w:val="es-CO"/>
        </w:rPr>
        <w:t>).</w:t>
      </w:r>
      <w:r w:rsidRPr="00B712AE">
        <w:rPr>
          <w:rFonts w:ascii="Arial" w:eastAsiaTheme="minorHAnsi" w:hAnsi="Arial" w:cs="Arial"/>
          <w:lang w:val="es-CO"/>
        </w:rPr>
        <w:t xml:space="preserve"> </w:t>
      </w:r>
    </w:p>
    <w:p w:rsidR="00D60114" w:rsidRDefault="00D60114"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B712AE">
        <w:rPr>
          <w:rFonts w:ascii="Arial" w:eastAsiaTheme="minorHAnsi" w:hAnsi="Arial" w:cs="Arial"/>
          <w:lang w:val="es-CO"/>
        </w:rPr>
        <w:t>Esta cifra ubicaba a Bolívar después de La Guajira y Córdoba, como el tercer departamento en la región Caribe con la tasa ocupación más alta. Sin embargo, su capital Cartagena para el año en referencia se ubicaba dentro de las trece principales áreas metropolitanas como la tercera ciudad con la tasa de ocupa</w:t>
      </w:r>
      <w:r w:rsidR="001E7CCA">
        <w:rPr>
          <w:rFonts w:ascii="Arial" w:eastAsiaTheme="minorHAnsi" w:hAnsi="Arial" w:cs="Arial"/>
          <w:lang w:val="es-CO"/>
        </w:rPr>
        <w:t>ción más baja (54.4%) (Gráfico 14</w:t>
      </w:r>
      <w:r w:rsidRPr="00B712AE">
        <w:rPr>
          <w:rFonts w:ascii="Arial" w:eastAsiaTheme="minorHAnsi" w:hAnsi="Arial" w:cs="Arial"/>
          <w:lang w:val="es-CO"/>
        </w:rPr>
        <w:t>).</w:t>
      </w: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1E7CCA" w:rsidRDefault="001E7CCA"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pStyle w:val="Epgrafe"/>
        <w:jc w:val="center"/>
        <w:rPr>
          <w:rFonts w:ascii="Arial" w:eastAsiaTheme="minorHAnsi" w:hAnsi="Arial" w:cs="Arial"/>
          <w:bCs w:val="0"/>
          <w:noProof/>
          <w:color w:val="auto"/>
          <w:sz w:val="22"/>
          <w:szCs w:val="22"/>
          <w:lang w:val="es-CO"/>
        </w:rPr>
      </w:pPr>
      <w:bookmarkStart w:id="71" w:name="_Toc389666970"/>
      <w:r w:rsidRPr="00F57C80">
        <w:rPr>
          <w:rFonts w:ascii="Arial" w:eastAsiaTheme="minorHAnsi" w:hAnsi="Arial" w:cs="Arial"/>
          <w:bCs w:val="0"/>
          <w:noProof/>
          <w:color w:val="auto"/>
          <w:sz w:val="22"/>
          <w:szCs w:val="22"/>
          <w:lang w:val="es-CO"/>
        </w:rPr>
        <w:t xml:space="preserve">Gráfico </w:t>
      </w:r>
      <w:r w:rsidRPr="00F57C80">
        <w:rPr>
          <w:rFonts w:ascii="Arial" w:eastAsiaTheme="minorHAnsi" w:hAnsi="Arial" w:cs="Arial"/>
          <w:bCs w:val="0"/>
          <w:noProof/>
          <w:color w:val="auto"/>
          <w:sz w:val="22"/>
          <w:szCs w:val="22"/>
          <w:lang w:val="es-CO"/>
        </w:rPr>
        <w:fldChar w:fldCharType="begin"/>
      </w:r>
      <w:r w:rsidRPr="00F57C80">
        <w:rPr>
          <w:rFonts w:ascii="Arial" w:eastAsiaTheme="minorHAnsi" w:hAnsi="Arial" w:cs="Arial"/>
          <w:bCs w:val="0"/>
          <w:noProof/>
          <w:color w:val="auto"/>
          <w:sz w:val="22"/>
          <w:szCs w:val="22"/>
          <w:lang w:val="es-CO"/>
        </w:rPr>
        <w:instrText xml:space="preserve"> SEQ Gráfico \* ARABIC </w:instrText>
      </w:r>
      <w:r w:rsidRPr="00F57C80">
        <w:rPr>
          <w:rFonts w:ascii="Arial" w:eastAsiaTheme="minorHAnsi" w:hAnsi="Arial" w:cs="Arial"/>
          <w:bCs w:val="0"/>
          <w:noProof/>
          <w:color w:val="auto"/>
          <w:sz w:val="22"/>
          <w:szCs w:val="22"/>
          <w:lang w:val="es-CO"/>
        </w:rPr>
        <w:fldChar w:fldCharType="separate"/>
      </w:r>
      <w:r w:rsidR="00D9744C">
        <w:rPr>
          <w:rFonts w:ascii="Arial" w:eastAsiaTheme="minorHAnsi" w:hAnsi="Arial" w:cs="Arial"/>
          <w:bCs w:val="0"/>
          <w:noProof/>
          <w:color w:val="auto"/>
          <w:sz w:val="22"/>
          <w:szCs w:val="22"/>
          <w:lang w:val="es-CO"/>
        </w:rPr>
        <w:t>14</w:t>
      </w:r>
      <w:r w:rsidRPr="00F57C80">
        <w:rPr>
          <w:rFonts w:ascii="Arial" w:eastAsiaTheme="minorHAnsi" w:hAnsi="Arial" w:cs="Arial"/>
          <w:bCs w:val="0"/>
          <w:noProof/>
          <w:color w:val="auto"/>
          <w:sz w:val="22"/>
          <w:szCs w:val="22"/>
          <w:lang w:val="es-CO"/>
        </w:rPr>
        <w:fldChar w:fldCharType="end"/>
      </w:r>
      <w:r w:rsidR="00F57C80">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Tasa de Ocupación. Nacional, región Caribe y 13 áreas metropolitanas (2011 - 2012)</w:t>
      </w:r>
      <w:bookmarkEnd w:id="71"/>
    </w:p>
    <w:p w:rsidR="00B75C85" w:rsidRDefault="00B75C85" w:rsidP="00B75C85">
      <w:pPr>
        <w:autoSpaceDE w:val="0"/>
        <w:autoSpaceDN w:val="0"/>
        <w:adjustRightInd w:val="0"/>
        <w:spacing w:line="276" w:lineRule="auto"/>
        <w:jc w:val="center"/>
        <w:rPr>
          <w:rFonts w:ascii="Arial" w:hAnsi="Arial" w:cs="Arial"/>
        </w:rPr>
      </w:pPr>
      <w:r>
        <w:rPr>
          <w:noProof/>
          <w:lang w:eastAsia="es-ES"/>
        </w:rPr>
        <w:drawing>
          <wp:inline distT="0" distB="0" distL="0" distR="0" wp14:anchorId="1C2E2221" wp14:editId="30E006BC">
            <wp:extent cx="3971925" cy="2924175"/>
            <wp:effectExtent l="0" t="0" r="0" b="0"/>
            <wp:docPr id="43"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eastAsia="es-ES"/>
        </w:rPr>
        <w:drawing>
          <wp:inline distT="0" distB="0" distL="0" distR="0" wp14:anchorId="1D6F1D5C" wp14:editId="4AC61BB4">
            <wp:extent cx="3971925" cy="3295650"/>
            <wp:effectExtent l="0" t="0" r="0" b="0"/>
            <wp:docPr id="44"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75C85" w:rsidRPr="00F57C80"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 w:val="16"/>
          <w:szCs w:val="16"/>
          <w:lang w:val="es-CO"/>
        </w:rPr>
      </w:pPr>
    </w:p>
    <w:p w:rsidR="00B75C85" w:rsidRDefault="00D60114" w:rsidP="00B75C85">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En cuanto a la participación sectorial, l</w:t>
      </w:r>
      <w:r w:rsidR="00B75C85" w:rsidRPr="00C42128">
        <w:rPr>
          <w:rFonts w:ascii="Arial" w:eastAsiaTheme="minorHAnsi" w:hAnsi="Arial" w:cs="Arial"/>
          <w:lang w:val="es-CO"/>
        </w:rPr>
        <w:t>os sectores económicos con mayor participación en el empleo generado durante el año 2012 en Bolívar fueron el comercio, la agricultura, los servicios, el transporte y las comunicaciones y la industria manufacturera. Estos en conjunto generaron el 87% del total de los empleos del departamento. Los sectores menos representativos en la generación de empleo fueron electricidad, gas, agua, servicios financieros y minas.</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autoSpaceDE w:val="0"/>
        <w:autoSpaceDN w:val="0"/>
        <w:adjustRightInd w:val="0"/>
        <w:spacing w:line="276" w:lineRule="auto"/>
        <w:jc w:val="both"/>
        <w:rPr>
          <w:rFonts w:ascii="Arial" w:eastAsiaTheme="minorHAnsi" w:hAnsi="Arial" w:cs="Arial"/>
          <w:b/>
          <w:lang w:val="es-CO"/>
        </w:rPr>
      </w:pPr>
    </w:p>
    <w:p w:rsidR="00B75C85" w:rsidRPr="00F57C80" w:rsidRDefault="00B75C85" w:rsidP="00B75C85">
      <w:pPr>
        <w:pStyle w:val="Epgrafe"/>
        <w:jc w:val="center"/>
        <w:rPr>
          <w:rFonts w:ascii="Arial" w:eastAsiaTheme="minorHAnsi" w:hAnsi="Arial" w:cs="Arial"/>
          <w:color w:val="auto"/>
          <w:sz w:val="22"/>
          <w:szCs w:val="22"/>
          <w:lang w:val="es-CO"/>
        </w:rPr>
      </w:pPr>
      <w:bookmarkStart w:id="72" w:name="_Toc389666971"/>
      <w:r w:rsidRPr="000E62F2">
        <w:rPr>
          <w:rFonts w:ascii="Arial" w:eastAsiaTheme="minorHAnsi" w:hAnsi="Arial" w:cs="Arial"/>
          <w:bCs w:val="0"/>
          <w:noProof/>
          <w:color w:val="auto"/>
          <w:sz w:val="22"/>
          <w:szCs w:val="22"/>
          <w:lang w:val="es-CO"/>
        </w:rPr>
        <w:t xml:space="preserve">Gráfico </w:t>
      </w:r>
      <w:r w:rsidRPr="000E62F2">
        <w:rPr>
          <w:rFonts w:ascii="Arial" w:eastAsiaTheme="minorHAnsi" w:hAnsi="Arial" w:cs="Arial"/>
          <w:bCs w:val="0"/>
          <w:noProof/>
          <w:color w:val="auto"/>
          <w:sz w:val="22"/>
          <w:szCs w:val="22"/>
          <w:lang w:val="es-CO"/>
        </w:rPr>
        <w:fldChar w:fldCharType="begin"/>
      </w:r>
      <w:r w:rsidRPr="000E62F2">
        <w:rPr>
          <w:rFonts w:ascii="Arial" w:eastAsiaTheme="minorHAnsi" w:hAnsi="Arial" w:cs="Arial"/>
          <w:bCs w:val="0"/>
          <w:noProof/>
          <w:color w:val="auto"/>
          <w:sz w:val="22"/>
          <w:szCs w:val="22"/>
          <w:lang w:val="es-CO"/>
        </w:rPr>
        <w:instrText xml:space="preserve"> SEQ Gráfico \* ARABIC </w:instrText>
      </w:r>
      <w:r w:rsidRPr="000E62F2">
        <w:rPr>
          <w:rFonts w:ascii="Arial" w:eastAsiaTheme="minorHAnsi" w:hAnsi="Arial" w:cs="Arial"/>
          <w:bCs w:val="0"/>
          <w:noProof/>
          <w:color w:val="auto"/>
          <w:sz w:val="22"/>
          <w:szCs w:val="22"/>
          <w:lang w:val="es-CO"/>
        </w:rPr>
        <w:fldChar w:fldCharType="separate"/>
      </w:r>
      <w:r w:rsidR="00D9744C" w:rsidRPr="000E62F2">
        <w:rPr>
          <w:rFonts w:ascii="Arial" w:eastAsiaTheme="minorHAnsi" w:hAnsi="Arial" w:cs="Arial"/>
          <w:bCs w:val="0"/>
          <w:noProof/>
          <w:color w:val="auto"/>
          <w:sz w:val="22"/>
          <w:szCs w:val="22"/>
          <w:lang w:val="es-CO"/>
        </w:rPr>
        <w:t>15</w:t>
      </w:r>
      <w:r w:rsidRPr="000E62F2">
        <w:rPr>
          <w:rFonts w:ascii="Arial" w:eastAsiaTheme="minorHAnsi" w:hAnsi="Arial" w:cs="Arial"/>
          <w:bCs w:val="0"/>
          <w:noProof/>
          <w:color w:val="auto"/>
          <w:sz w:val="22"/>
          <w:szCs w:val="22"/>
          <w:lang w:val="es-CO"/>
        </w:rPr>
        <w:fldChar w:fldCharType="end"/>
      </w:r>
      <w:r w:rsidR="00F57C80" w:rsidRPr="00C840E3">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Ocupados por rama de actividad. Bolívar (2012)</w:t>
      </w:r>
      <w:bookmarkEnd w:id="72"/>
    </w:p>
    <w:p w:rsidR="00B75C85" w:rsidRDefault="00B75C85" w:rsidP="00B75C85">
      <w:pPr>
        <w:autoSpaceDE w:val="0"/>
        <w:autoSpaceDN w:val="0"/>
        <w:adjustRightInd w:val="0"/>
        <w:spacing w:line="276" w:lineRule="auto"/>
        <w:jc w:val="center"/>
        <w:rPr>
          <w:rFonts w:ascii="Arial" w:hAnsi="Arial" w:cs="Arial"/>
        </w:rPr>
      </w:pPr>
      <w:r>
        <w:rPr>
          <w:noProof/>
          <w:lang w:eastAsia="es-ES"/>
        </w:rPr>
        <w:drawing>
          <wp:inline distT="0" distB="0" distL="0" distR="0" wp14:anchorId="371E841A" wp14:editId="28BE989D">
            <wp:extent cx="5612130" cy="2823845"/>
            <wp:effectExtent l="0" t="0" r="7620" b="0"/>
            <wp:docPr id="45"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75C85" w:rsidRDefault="00B75C85" w:rsidP="00B75C85">
      <w:pPr>
        <w:autoSpaceDE w:val="0"/>
        <w:autoSpaceDN w:val="0"/>
        <w:adjustRightInd w:val="0"/>
        <w:spacing w:line="276" w:lineRule="auto"/>
        <w:jc w:val="both"/>
        <w:rPr>
          <w:rFonts w:ascii="Arial" w:hAnsi="Arial" w:cs="Arial"/>
        </w:rPr>
      </w:pPr>
      <w:r>
        <w:rPr>
          <w:noProof/>
          <w:lang w:eastAsia="es-ES"/>
        </w:rPr>
        <w:drawing>
          <wp:inline distT="0" distB="0" distL="0" distR="0" wp14:anchorId="32F1773C" wp14:editId="7477F51C">
            <wp:extent cx="5612130" cy="2739390"/>
            <wp:effectExtent l="0" t="0" r="7620" b="3810"/>
            <wp:docPr id="46"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75C85" w:rsidRDefault="00B75C85" w:rsidP="00B75C85">
      <w:pPr>
        <w:autoSpaceDE w:val="0"/>
        <w:autoSpaceDN w:val="0"/>
        <w:adjustRightInd w:val="0"/>
        <w:spacing w:line="276" w:lineRule="auto"/>
        <w:jc w:val="center"/>
        <w:rPr>
          <w:rFonts w:ascii="Arial" w:eastAsiaTheme="minorHAnsi" w:hAnsi="Arial" w:cs="Arial"/>
          <w:sz w:val="20"/>
          <w:szCs w:val="16"/>
          <w:lang w:val="es-CO"/>
        </w:rPr>
      </w:pPr>
      <w:r w:rsidRPr="001B1706">
        <w:rPr>
          <w:rFonts w:ascii="Arial" w:eastAsiaTheme="minorHAnsi" w:hAnsi="Arial" w:cs="Arial"/>
          <w:sz w:val="20"/>
          <w:szCs w:val="16"/>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Cs w:val="16"/>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1B1706">
        <w:rPr>
          <w:rFonts w:ascii="Arial" w:eastAsiaTheme="minorHAnsi" w:hAnsi="Arial" w:cs="Arial"/>
          <w:lang w:val="es-CO"/>
        </w:rPr>
        <w:t xml:space="preserve">Del total de personas ocupadas en Bolívar durante el año 2012, el 66% corresponden a trabajadores independientes (trabajadores por cuenta propia, patrones o empleadores, trabajadores familiares </w:t>
      </w:r>
      <w:r w:rsidR="001E7CCA">
        <w:rPr>
          <w:rFonts w:ascii="Arial" w:eastAsiaTheme="minorHAnsi" w:hAnsi="Arial" w:cs="Arial"/>
          <w:lang w:val="es-CO"/>
        </w:rPr>
        <w:t xml:space="preserve">sin </w:t>
      </w:r>
      <w:r w:rsidR="001E7CCA" w:rsidRPr="00C840E3">
        <w:rPr>
          <w:rFonts w:ascii="Arial" w:eastAsiaTheme="minorHAnsi" w:hAnsi="Arial" w:cs="Arial"/>
          <w:lang w:val="es-CO"/>
        </w:rPr>
        <w:t>remuneración) (Gráfico 16</w:t>
      </w:r>
      <w:r w:rsidRPr="000E62F2">
        <w:rPr>
          <w:rFonts w:ascii="Arial" w:eastAsiaTheme="minorHAnsi" w:hAnsi="Arial" w:cs="Arial"/>
          <w:lang w:val="es-CO"/>
        </w:rPr>
        <w:t>),</w:t>
      </w:r>
      <w:r w:rsidRPr="001B1706">
        <w:rPr>
          <w:rFonts w:ascii="Arial" w:eastAsiaTheme="minorHAnsi" w:hAnsi="Arial" w:cs="Arial"/>
          <w:lang w:val="es-CO"/>
        </w:rPr>
        <w:t xml:space="preserve"> mientras que los asalariados representan el 32,7% de los ocupados: empleados del sector privado (25%), empleados públicos (4,1%), empleados domésticos (3,6%).</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F57C80">
      <w:pPr>
        <w:autoSpaceDE w:val="0"/>
        <w:autoSpaceDN w:val="0"/>
        <w:adjustRightInd w:val="0"/>
        <w:spacing w:line="276" w:lineRule="auto"/>
        <w:jc w:val="center"/>
        <w:rPr>
          <w:rFonts w:ascii="Arial" w:eastAsiaTheme="minorHAnsi" w:hAnsi="Arial" w:cs="Arial"/>
          <w:b/>
          <w:lang w:val="es-CO"/>
        </w:rPr>
      </w:pPr>
    </w:p>
    <w:p w:rsidR="00B75C85" w:rsidRPr="00F57C80" w:rsidRDefault="00B75C85" w:rsidP="00F57C80">
      <w:pPr>
        <w:pStyle w:val="Epgrafe"/>
        <w:jc w:val="center"/>
        <w:rPr>
          <w:rFonts w:ascii="Arial" w:eastAsiaTheme="minorHAnsi" w:hAnsi="Arial" w:cs="Arial"/>
          <w:bCs w:val="0"/>
          <w:noProof/>
          <w:color w:val="auto"/>
          <w:sz w:val="22"/>
          <w:szCs w:val="22"/>
          <w:lang w:val="es-CO"/>
        </w:rPr>
      </w:pPr>
      <w:bookmarkStart w:id="73" w:name="_Toc389666972"/>
      <w:r w:rsidRPr="000E62F2">
        <w:rPr>
          <w:rFonts w:ascii="Arial" w:eastAsiaTheme="minorHAnsi" w:hAnsi="Arial" w:cs="Arial"/>
          <w:bCs w:val="0"/>
          <w:noProof/>
          <w:color w:val="auto"/>
          <w:sz w:val="22"/>
          <w:szCs w:val="22"/>
          <w:lang w:val="es-CO"/>
        </w:rPr>
        <w:t xml:space="preserve">Gráfico </w:t>
      </w:r>
      <w:r w:rsidRPr="000E62F2">
        <w:rPr>
          <w:rFonts w:ascii="Arial" w:eastAsiaTheme="minorHAnsi" w:hAnsi="Arial" w:cs="Arial"/>
          <w:bCs w:val="0"/>
          <w:noProof/>
          <w:color w:val="auto"/>
          <w:sz w:val="22"/>
          <w:szCs w:val="22"/>
          <w:lang w:val="es-CO"/>
        </w:rPr>
        <w:fldChar w:fldCharType="begin"/>
      </w:r>
      <w:r w:rsidRPr="000E62F2">
        <w:rPr>
          <w:rFonts w:ascii="Arial" w:eastAsiaTheme="minorHAnsi" w:hAnsi="Arial" w:cs="Arial"/>
          <w:bCs w:val="0"/>
          <w:noProof/>
          <w:color w:val="auto"/>
          <w:sz w:val="22"/>
          <w:szCs w:val="22"/>
          <w:lang w:val="es-CO"/>
        </w:rPr>
        <w:instrText xml:space="preserve"> SEQ Gráfico \* ARABIC </w:instrText>
      </w:r>
      <w:r w:rsidRPr="000E62F2">
        <w:rPr>
          <w:rFonts w:ascii="Arial" w:eastAsiaTheme="minorHAnsi" w:hAnsi="Arial" w:cs="Arial"/>
          <w:bCs w:val="0"/>
          <w:noProof/>
          <w:color w:val="auto"/>
          <w:sz w:val="22"/>
          <w:szCs w:val="22"/>
          <w:lang w:val="es-CO"/>
        </w:rPr>
        <w:fldChar w:fldCharType="separate"/>
      </w:r>
      <w:r w:rsidR="00D9744C" w:rsidRPr="000E62F2">
        <w:rPr>
          <w:rFonts w:ascii="Arial" w:eastAsiaTheme="minorHAnsi" w:hAnsi="Arial" w:cs="Arial"/>
          <w:bCs w:val="0"/>
          <w:noProof/>
          <w:color w:val="auto"/>
          <w:sz w:val="22"/>
          <w:szCs w:val="22"/>
          <w:lang w:val="es-CO"/>
        </w:rPr>
        <w:t>16</w:t>
      </w:r>
      <w:r w:rsidRPr="000E62F2">
        <w:rPr>
          <w:rFonts w:ascii="Arial" w:eastAsiaTheme="minorHAnsi" w:hAnsi="Arial" w:cs="Arial"/>
          <w:bCs w:val="0"/>
          <w:noProof/>
          <w:color w:val="auto"/>
          <w:sz w:val="22"/>
          <w:szCs w:val="22"/>
          <w:lang w:val="es-CO"/>
        </w:rPr>
        <w:fldChar w:fldCharType="end"/>
      </w:r>
      <w:r w:rsidR="00F57C80" w:rsidRPr="00C840E3">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Ocupados por posición ocupacional. Bolívar (2012)</w:t>
      </w:r>
      <w:bookmarkEnd w:id="73"/>
    </w:p>
    <w:p w:rsidR="00B75C85" w:rsidRDefault="00B75C85" w:rsidP="00B75C85">
      <w:pPr>
        <w:jc w:val="center"/>
        <w:rPr>
          <w:lang w:val="es-CO"/>
        </w:rPr>
      </w:pPr>
      <w:r>
        <w:rPr>
          <w:noProof/>
          <w:lang w:eastAsia="es-ES"/>
        </w:rPr>
        <w:drawing>
          <wp:inline distT="0" distB="0" distL="0" distR="0" wp14:anchorId="17DFEF5B" wp14:editId="04EE2305">
            <wp:extent cx="4657725" cy="2152650"/>
            <wp:effectExtent l="0" t="0" r="0" b="0"/>
            <wp:docPr id="47"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75C85" w:rsidRPr="00F57C80" w:rsidRDefault="00B75C85" w:rsidP="00B75C85">
      <w:pPr>
        <w:jc w:val="center"/>
        <w:rPr>
          <w:rFonts w:ascii="Arial" w:hAnsi="Arial" w:cs="Arial"/>
          <w:sz w:val="18"/>
          <w:szCs w:val="18"/>
          <w:lang w:val="es-CO"/>
        </w:rPr>
      </w:pPr>
      <w:r w:rsidRPr="00F57C80">
        <w:rPr>
          <w:rFonts w:ascii="Arial" w:hAnsi="Arial" w:cs="Arial"/>
          <w:sz w:val="18"/>
          <w:szCs w:val="18"/>
          <w:lang w:val="es-CO"/>
        </w:rPr>
        <w:t>Fuente: DANE. Cálculos FUPAD – Ministerio del Trabajo</w:t>
      </w:r>
    </w:p>
    <w:p w:rsidR="00B75C85" w:rsidRDefault="00B75C85" w:rsidP="00B75C85">
      <w:pPr>
        <w:jc w:val="center"/>
        <w:rPr>
          <w:rFonts w:ascii="Arial" w:hAnsi="Arial" w:cs="Arial"/>
          <w:sz w:val="20"/>
          <w:lang w:val="es-CO"/>
        </w:rPr>
      </w:pPr>
    </w:p>
    <w:p w:rsidR="00B75C85" w:rsidRPr="001B1706" w:rsidRDefault="00B75C85" w:rsidP="00B75C85">
      <w:pPr>
        <w:autoSpaceDE w:val="0"/>
        <w:autoSpaceDN w:val="0"/>
        <w:adjustRightInd w:val="0"/>
        <w:spacing w:line="276" w:lineRule="auto"/>
        <w:jc w:val="both"/>
        <w:rPr>
          <w:rFonts w:ascii="Arial" w:eastAsiaTheme="minorHAnsi" w:hAnsi="Arial" w:cs="Arial"/>
          <w:lang w:val="es-CO"/>
        </w:rPr>
      </w:pPr>
      <w:r w:rsidRPr="001B1706">
        <w:rPr>
          <w:rFonts w:ascii="Arial" w:eastAsiaTheme="minorHAnsi" w:hAnsi="Arial" w:cs="Arial"/>
          <w:lang w:val="es-CO"/>
        </w:rPr>
        <w:t>Las cifras de ocupación mostradas anteriormente no sólo comprometen al sector público y privado a orientar sus acciones al incremento de alternativas de puestos de trabajo, sino a resolver los problemas de calidad del empleo.</w:t>
      </w:r>
    </w:p>
    <w:p w:rsidR="00B75C85" w:rsidRPr="001B1706"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1B1706">
        <w:rPr>
          <w:rFonts w:ascii="Arial" w:eastAsiaTheme="minorHAnsi" w:hAnsi="Arial" w:cs="Arial"/>
          <w:lang w:val="es-CO"/>
        </w:rPr>
        <w:t>La alta participación de los trabajadores por cuenta propia en el total de ocupados es una muestra contundente de la precariedad del trabajador bolivarense. Esta situación tiene graves implicaciones tanto sociales como económicas</w:t>
      </w:r>
      <w:r w:rsidR="00D60114">
        <w:rPr>
          <w:rFonts w:ascii="Arial" w:eastAsiaTheme="minorHAnsi" w:hAnsi="Arial" w:cs="Arial"/>
          <w:lang w:val="es-CO"/>
        </w:rPr>
        <w:t xml:space="preserve">, pues </w:t>
      </w:r>
      <w:r w:rsidRPr="001B1706">
        <w:rPr>
          <w:rFonts w:ascii="Arial" w:eastAsiaTheme="minorHAnsi" w:hAnsi="Arial" w:cs="Arial"/>
          <w:lang w:val="es-CO"/>
        </w:rPr>
        <w:t>las condiciones socioeconómicas de estos trabajadores generan precariedad a la situación de los hogares en términos de ingresos insuficientes, inestabilidad laboral, poco acceso a la seguridad social e informalidad. En términos económicos, el análisis puede centrarse en relación con la baja productividad de estos empleos y el escaso valor agregado que representa para la economía.</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482FA9" w:rsidRDefault="00B75C85" w:rsidP="00482FA9">
      <w:pPr>
        <w:rPr>
          <w:rFonts w:ascii="Arial" w:hAnsi="Arial" w:cs="Arial"/>
          <w:b/>
        </w:rPr>
      </w:pPr>
      <w:r w:rsidRPr="00482FA9">
        <w:rPr>
          <w:rFonts w:ascii="Arial" w:hAnsi="Arial" w:cs="Arial"/>
          <w:b/>
        </w:rPr>
        <w:t>Desempleo</w:t>
      </w:r>
    </w:p>
    <w:p w:rsidR="00B75C85" w:rsidRDefault="00B75C85" w:rsidP="00B75C85"/>
    <w:p w:rsidR="00B75C85" w:rsidRPr="008676F6" w:rsidRDefault="00B75C85" w:rsidP="00B75C85">
      <w:pPr>
        <w:autoSpaceDE w:val="0"/>
        <w:autoSpaceDN w:val="0"/>
        <w:adjustRightInd w:val="0"/>
        <w:spacing w:line="276" w:lineRule="auto"/>
        <w:jc w:val="both"/>
        <w:rPr>
          <w:rFonts w:ascii="Arial" w:eastAsiaTheme="minorHAnsi" w:hAnsi="Arial" w:cs="Arial"/>
          <w:lang w:val="es-CO"/>
        </w:rPr>
      </w:pPr>
      <w:r w:rsidRPr="008676F6">
        <w:rPr>
          <w:rFonts w:ascii="Arial" w:eastAsiaTheme="minorHAnsi" w:hAnsi="Arial" w:cs="Arial"/>
          <w:lang w:val="es-CO"/>
        </w:rPr>
        <w:t xml:space="preserve">La tasa de desempleo del departamento de Bolívar durante los últimos 12 años ha mostrado una tendencia descendente. Para el año 2012 la tasa fue de 7,6%, seis puntos porcentuales menos a la presentada en el 2001 (13,6%) (Gráfico </w:t>
      </w:r>
      <w:r w:rsidR="001B0468">
        <w:rPr>
          <w:rFonts w:ascii="Arial" w:eastAsiaTheme="minorHAnsi" w:hAnsi="Arial" w:cs="Arial"/>
          <w:lang w:val="es-CO"/>
        </w:rPr>
        <w:t>17</w:t>
      </w:r>
      <w:r w:rsidRPr="008676F6">
        <w:rPr>
          <w:rFonts w:ascii="Arial" w:eastAsiaTheme="minorHAnsi" w:hAnsi="Arial" w:cs="Arial"/>
          <w:lang w:val="es-CO"/>
        </w:rPr>
        <w:t>). Cabe resaltar que para el año 2012, el departamento presentó la segunda tasa de desempleo más baja del país.</w:t>
      </w:r>
    </w:p>
    <w:p w:rsidR="00B75C85" w:rsidRPr="008676F6" w:rsidRDefault="00B75C85" w:rsidP="00B75C85">
      <w:pPr>
        <w:autoSpaceDE w:val="0"/>
        <w:autoSpaceDN w:val="0"/>
        <w:adjustRightInd w:val="0"/>
        <w:spacing w:line="276" w:lineRule="auto"/>
        <w:jc w:val="both"/>
        <w:rPr>
          <w:rFonts w:ascii="Arial" w:eastAsiaTheme="minorHAnsi" w:hAnsi="Arial" w:cs="Arial"/>
          <w:lang w:val="es-CO"/>
        </w:rPr>
      </w:pPr>
    </w:p>
    <w:p w:rsidR="00535028" w:rsidRDefault="00535028" w:rsidP="00B75C85">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Al mirar los datos de la capital, e</w:t>
      </w:r>
      <w:r w:rsidR="00B75C85" w:rsidRPr="008676F6">
        <w:rPr>
          <w:rFonts w:ascii="Arial" w:eastAsiaTheme="minorHAnsi" w:hAnsi="Arial" w:cs="Arial"/>
          <w:lang w:val="es-CO"/>
        </w:rPr>
        <w:t>ntre los años 2001 y 2012, el comportamiento de la tasa de desempleo en la ciudad de Cartagena fue mucho más fluctuante que la presentada por el departamento de Bolívar</w:t>
      </w:r>
      <w:r>
        <w:rPr>
          <w:rFonts w:ascii="Arial" w:eastAsiaTheme="minorHAnsi" w:hAnsi="Arial" w:cs="Arial"/>
          <w:lang w:val="es-CO"/>
        </w:rPr>
        <w:t xml:space="preserve"> </w:t>
      </w:r>
      <w:r w:rsidR="00B75C85" w:rsidRPr="008676F6">
        <w:rPr>
          <w:rFonts w:ascii="Arial" w:eastAsiaTheme="minorHAnsi" w:hAnsi="Arial" w:cs="Arial"/>
          <w:lang w:val="es-CO"/>
        </w:rPr>
        <w:t xml:space="preserve"> y el país. El desempleo en la ciudad tuvo su pico más alto en el año 2007 cuando presentó una tasa de 15,6%, cinco puntos porcentuales por encima a la presentada por el departamento y la nación. </w:t>
      </w:r>
    </w:p>
    <w:p w:rsidR="001D7E55" w:rsidRDefault="001D7E5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8676F6">
        <w:rPr>
          <w:rFonts w:ascii="Arial" w:eastAsiaTheme="minorHAnsi" w:hAnsi="Arial" w:cs="Arial"/>
          <w:lang w:val="es-CO"/>
        </w:rPr>
        <w:t>A partir del 2008 se observó un descenso en los niveles de desempleo en la ciudad; sin embargo, esta tasa estuvo siempre por encima de los presentados por el p</w:t>
      </w:r>
      <w:r>
        <w:rPr>
          <w:rFonts w:ascii="Arial" w:eastAsiaTheme="minorHAnsi" w:hAnsi="Arial" w:cs="Arial"/>
          <w:lang w:val="es-CO"/>
        </w:rPr>
        <w:t>a</w:t>
      </w:r>
      <w:r w:rsidR="001E7CCA">
        <w:rPr>
          <w:rFonts w:ascii="Arial" w:eastAsiaTheme="minorHAnsi" w:hAnsi="Arial" w:cs="Arial"/>
          <w:lang w:val="es-CO"/>
        </w:rPr>
        <w:t xml:space="preserve">ís y el departamento </w:t>
      </w:r>
      <w:r w:rsidR="001E7CCA" w:rsidRPr="00C840E3">
        <w:rPr>
          <w:rFonts w:ascii="Arial" w:eastAsiaTheme="minorHAnsi" w:hAnsi="Arial" w:cs="Arial"/>
          <w:lang w:val="es-CO"/>
        </w:rPr>
        <w:t>(Gráfico 17</w:t>
      </w:r>
      <w:r w:rsidRPr="000E62F2">
        <w:rPr>
          <w:rFonts w:ascii="Arial" w:eastAsiaTheme="minorHAnsi" w:hAnsi="Arial" w:cs="Arial"/>
          <w:lang w:val="es-CO"/>
        </w:rPr>
        <w:t>).</w:t>
      </w:r>
    </w:p>
    <w:p w:rsidR="00482FA9" w:rsidRDefault="00482FA9"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pStyle w:val="Epgrafe"/>
        <w:jc w:val="center"/>
        <w:rPr>
          <w:rFonts w:ascii="Arial" w:eastAsiaTheme="minorHAnsi" w:hAnsi="Arial" w:cs="Arial"/>
          <w:bCs w:val="0"/>
          <w:noProof/>
          <w:color w:val="auto"/>
          <w:sz w:val="22"/>
          <w:szCs w:val="22"/>
          <w:lang w:val="es-CO"/>
        </w:rPr>
      </w:pPr>
      <w:bookmarkStart w:id="74" w:name="_Toc389666973"/>
      <w:r w:rsidRPr="000E62F2">
        <w:rPr>
          <w:rFonts w:ascii="Arial" w:eastAsiaTheme="minorHAnsi" w:hAnsi="Arial" w:cs="Arial"/>
          <w:bCs w:val="0"/>
          <w:noProof/>
          <w:color w:val="auto"/>
          <w:sz w:val="22"/>
          <w:szCs w:val="22"/>
          <w:lang w:val="es-CO"/>
        </w:rPr>
        <w:t xml:space="preserve">Gráfico </w:t>
      </w:r>
      <w:r w:rsidRPr="000E62F2">
        <w:rPr>
          <w:rFonts w:ascii="Arial" w:eastAsiaTheme="minorHAnsi" w:hAnsi="Arial" w:cs="Arial"/>
          <w:bCs w:val="0"/>
          <w:noProof/>
          <w:color w:val="auto"/>
          <w:sz w:val="22"/>
          <w:szCs w:val="22"/>
          <w:lang w:val="es-CO"/>
        </w:rPr>
        <w:fldChar w:fldCharType="begin"/>
      </w:r>
      <w:r w:rsidRPr="000E62F2">
        <w:rPr>
          <w:rFonts w:ascii="Arial" w:eastAsiaTheme="minorHAnsi" w:hAnsi="Arial" w:cs="Arial"/>
          <w:bCs w:val="0"/>
          <w:noProof/>
          <w:color w:val="auto"/>
          <w:sz w:val="22"/>
          <w:szCs w:val="22"/>
          <w:lang w:val="es-CO"/>
        </w:rPr>
        <w:instrText xml:space="preserve"> SEQ Gráfico \* ARABIC </w:instrText>
      </w:r>
      <w:r w:rsidRPr="000E62F2">
        <w:rPr>
          <w:rFonts w:ascii="Arial" w:eastAsiaTheme="minorHAnsi" w:hAnsi="Arial" w:cs="Arial"/>
          <w:bCs w:val="0"/>
          <w:noProof/>
          <w:color w:val="auto"/>
          <w:sz w:val="22"/>
          <w:szCs w:val="22"/>
          <w:lang w:val="es-CO"/>
        </w:rPr>
        <w:fldChar w:fldCharType="separate"/>
      </w:r>
      <w:r w:rsidR="00D9744C" w:rsidRPr="000E62F2">
        <w:rPr>
          <w:rFonts w:ascii="Arial" w:eastAsiaTheme="minorHAnsi" w:hAnsi="Arial" w:cs="Arial"/>
          <w:bCs w:val="0"/>
          <w:noProof/>
          <w:color w:val="auto"/>
          <w:sz w:val="22"/>
          <w:szCs w:val="22"/>
          <w:lang w:val="es-CO"/>
        </w:rPr>
        <w:t>17</w:t>
      </w:r>
      <w:r w:rsidRPr="000E62F2">
        <w:rPr>
          <w:rFonts w:ascii="Arial" w:eastAsiaTheme="minorHAnsi" w:hAnsi="Arial" w:cs="Arial"/>
          <w:bCs w:val="0"/>
          <w:noProof/>
          <w:color w:val="auto"/>
          <w:sz w:val="22"/>
          <w:szCs w:val="22"/>
          <w:lang w:val="es-CO"/>
        </w:rPr>
        <w:fldChar w:fldCharType="end"/>
      </w:r>
      <w:r w:rsidR="00F57C80" w:rsidRPr="000E62F2">
        <w:rPr>
          <w:rFonts w:ascii="Arial" w:eastAsiaTheme="minorHAnsi" w:hAnsi="Arial" w:cs="Arial"/>
          <w:bCs w:val="0"/>
          <w:noProof/>
          <w:color w:val="auto"/>
          <w:sz w:val="22"/>
          <w:szCs w:val="22"/>
          <w:lang w:val="es-CO"/>
        </w:rPr>
        <w:t>.</w:t>
      </w:r>
      <w:r w:rsidRPr="000E62F2">
        <w:rPr>
          <w:rFonts w:ascii="Arial" w:eastAsiaTheme="minorHAnsi" w:hAnsi="Arial" w:cs="Arial"/>
          <w:bCs w:val="0"/>
          <w:noProof/>
          <w:color w:val="auto"/>
          <w:sz w:val="22"/>
          <w:szCs w:val="22"/>
          <w:lang w:val="es-CO"/>
        </w:rPr>
        <w:t xml:space="preserve"> Desempleados</w:t>
      </w:r>
      <w:r w:rsidRPr="00F57C80">
        <w:rPr>
          <w:rFonts w:ascii="Arial" w:eastAsiaTheme="minorHAnsi" w:hAnsi="Arial" w:cs="Arial"/>
          <w:bCs w:val="0"/>
          <w:noProof/>
          <w:color w:val="auto"/>
          <w:sz w:val="22"/>
          <w:szCs w:val="22"/>
          <w:lang w:val="es-CO"/>
        </w:rPr>
        <w:t xml:space="preserve"> a nivel departamental. Bolívar (2012)</w:t>
      </w:r>
      <w:bookmarkEnd w:id="74"/>
    </w:p>
    <w:p w:rsidR="00B75C85" w:rsidRDefault="00B75C85" w:rsidP="00B75C85">
      <w:pPr>
        <w:jc w:val="center"/>
        <w:rPr>
          <w:rFonts w:ascii="Arial" w:hAnsi="Arial" w:cs="Arial"/>
          <w:lang w:val="es-CO"/>
        </w:rPr>
      </w:pPr>
      <w:r>
        <w:rPr>
          <w:noProof/>
          <w:lang w:eastAsia="es-ES"/>
        </w:rPr>
        <w:drawing>
          <wp:inline distT="0" distB="0" distL="0" distR="0" wp14:anchorId="3B4346A7" wp14:editId="1EFA4ECF">
            <wp:extent cx="5322795" cy="3203762"/>
            <wp:effectExtent l="0" t="0" r="0" b="0"/>
            <wp:docPr id="48"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75C85" w:rsidRDefault="00B75C85" w:rsidP="00B75C85">
      <w:pPr>
        <w:rPr>
          <w:rFonts w:ascii="Arial" w:hAnsi="Arial" w:cs="Arial"/>
          <w:lang w:val="es-CO"/>
        </w:rPr>
      </w:pPr>
    </w:p>
    <w:p w:rsidR="00B75C85" w:rsidRDefault="00B75C85" w:rsidP="00B75C85">
      <w:pPr>
        <w:jc w:val="center"/>
        <w:rPr>
          <w:rFonts w:ascii="Arial" w:hAnsi="Arial" w:cs="Arial"/>
          <w:lang w:val="es-CO"/>
        </w:rPr>
      </w:pPr>
      <w:r>
        <w:rPr>
          <w:noProof/>
          <w:lang w:eastAsia="es-ES"/>
        </w:rPr>
        <w:drawing>
          <wp:inline distT="0" distB="0" distL="0" distR="0" wp14:anchorId="03AE2263" wp14:editId="4A69D282">
            <wp:extent cx="4800600" cy="3619500"/>
            <wp:effectExtent l="0" t="0" r="0" b="0"/>
            <wp:docPr id="49"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75C85" w:rsidRDefault="00B75C85" w:rsidP="00B75C85">
      <w:pPr>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1D7E55" w:rsidRPr="00F57C80" w:rsidRDefault="001D7E55" w:rsidP="00B75C85">
      <w:pPr>
        <w:jc w:val="center"/>
        <w:rPr>
          <w:rFonts w:ascii="Arial" w:eastAsiaTheme="minorHAnsi" w:hAnsi="Arial" w:cs="Arial"/>
          <w:sz w:val="18"/>
          <w:szCs w:val="18"/>
          <w:lang w:val="es-CO"/>
        </w:rPr>
      </w:pPr>
    </w:p>
    <w:p w:rsidR="00DD43D1" w:rsidRDefault="00B75C85" w:rsidP="00B75C85">
      <w:pPr>
        <w:autoSpaceDE w:val="0"/>
        <w:autoSpaceDN w:val="0"/>
        <w:adjustRightInd w:val="0"/>
        <w:spacing w:line="276" w:lineRule="auto"/>
        <w:jc w:val="both"/>
        <w:rPr>
          <w:rFonts w:ascii="Arial" w:eastAsiaTheme="minorHAnsi" w:hAnsi="Arial" w:cs="Arial"/>
          <w:lang w:val="es-CO"/>
        </w:rPr>
      </w:pPr>
      <w:r w:rsidRPr="00DC70DA">
        <w:rPr>
          <w:rFonts w:ascii="Arial" w:eastAsiaTheme="minorHAnsi" w:hAnsi="Arial" w:cs="Arial"/>
          <w:lang w:val="es-CO"/>
        </w:rPr>
        <w:t xml:space="preserve">Al observar la posición relativa del departamento de </w:t>
      </w:r>
      <w:r>
        <w:rPr>
          <w:rFonts w:ascii="Arial" w:eastAsiaTheme="minorHAnsi" w:hAnsi="Arial" w:cs="Arial"/>
          <w:lang w:val="es-CO"/>
        </w:rPr>
        <w:t>Bolívar</w:t>
      </w:r>
      <w:r w:rsidRPr="00DC70DA">
        <w:rPr>
          <w:rFonts w:ascii="Arial" w:eastAsiaTheme="minorHAnsi" w:hAnsi="Arial" w:cs="Arial"/>
          <w:lang w:val="es-CO"/>
        </w:rPr>
        <w:t xml:space="preserve"> frente al promedio nacional y al resto de departamentos, se puede ver claramente en los siguientes gráficos la situación en materia de </w:t>
      </w:r>
      <w:r w:rsidR="001E7CCA">
        <w:rPr>
          <w:rFonts w:ascii="Arial" w:eastAsiaTheme="minorHAnsi" w:hAnsi="Arial" w:cs="Arial"/>
          <w:lang w:val="es-CO"/>
        </w:rPr>
        <w:t xml:space="preserve">desempleo. </w:t>
      </w:r>
      <w:r w:rsidR="001E7CCA" w:rsidRPr="00C840E3">
        <w:rPr>
          <w:rFonts w:ascii="Arial" w:eastAsiaTheme="minorHAnsi" w:hAnsi="Arial" w:cs="Arial"/>
          <w:lang w:val="es-CO"/>
        </w:rPr>
        <w:t>El gráfico 18</w:t>
      </w:r>
      <w:r w:rsidRPr="00C840E3">
        <w:rPr>
          <w:rFonts w:ascii="Arial" w:eastAsiaTheme="minorHAnsi" w:hAnsi="Arial" w:cs="Arial"/>
          <w:lang w:val="es-CO"/>
        </w:rPr>
        <w:t xml:space="preserve"> clasifica</w:t>
      </w:r>
      <w:r w:rsidRPr="00DC70DA">
        <w:rPr>
          <w:rFonts w:ascii="Arial" w:eastAsiaTheme="minorHAnsi" w:hAnsi="Arial" w:cs="Arial"/>
          <w:lang w:val="es-CO"/>
        </w:rPr>
        <w:t xml:space="preserve"> a los departamentos en cuatro </w:t>
      </w:r>
      <w:r w:rsidRPr="00DC70DA">
        <w:rPr>
          <w:rFonts w:ascii="Arial" w:eastAsiaTheme="minorHAnsi" w:hAnsi="Arial" w:cs="Arial"/>
          <w:lang w:val="es-CO"/>
        </w:rPr>
        <w:lastRenderedPageBreak/>
        <w:t xml:space="preserve">cuadrantes, definidos por la intersección de los promedios nacionales de la tasa de desempleo en los años 2011 (eje horizontal) y 2012 (eje vertical).  De tal manera, que aquellos departamentos que se encuentran en el primer cuadrante (zona superior derecha), son aquellos que presentaron altas tasas en los dos años objeto de comparación. </w:t>
      </w:r>
    </w:p>
    <w:p w:rsidR="00DD43D1" w:rsidRDefault="00DD43D1"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Bolívar</w:t>
      </w:r>
      <w:r w:rsidRPr="00DC70DA">
        <w:rPr>
          <w:rFonts w:ascii="Arial" w:eastAsiaTheme="minorHAnsi" w:hAnsi="Arial" w:cs="Arial"/>
          <w:lang w:val="es-CO"/>
        </w:rPr>
        <w:t xml:space="preserve"> aparece junto con </w:t>
      </w:r>
      <w:r>
        <w:rPr>
          <w:rFonts w:ascii="Arial" w:eastAsiaTheme="minorHAnsi" w:hAnsi="Arial" w:cs="Arial"/>
          <w:lang w:val="es-CO"/>
        </w:rPr>
        <w:t>Santander</w:t>
      </w:r>
      <w:r w:rsidRPr="00DC70DA">
        <w:rPr>
          <w:rFonts w:ascii="Arial" w:eastAsiaTheme="minorHAnsi" w:hAnsi="Arial" w:cs="Arial"/>
          <w:lang w:val="es-CO"/>
        </w:rPr>
        <w:t xml:space="preserve">, </w:t>
      </w:r>
      <w:r>
        <w:rPr>
          <w:rFonts w:ascii="Arial" w:eastAsiaTheme="minorHAnsi" w:hAnsi="Arial" w:cs="Arial"/>
          <w:lang w:val="es-CO"/>
        </w:rPr>
        <w:t>Atlántico</w:t>
      </w:r>
      <w:r w:rsidRPr="00DC70DA">
        <w:rPr>
          <w:rFonts w:ascii="Arial" w:eastAsiaTheme="minorHAnsi" w:hAnsi="Arial" w:cs="Arial"/>
          <w:lang w:val="es-CO"/>
        </w:rPr>
        <w:t xml:space="preserve">, </w:t>
      </w:r>
      <w:r>
        <w:rPr>
          <w:rFonts w:ascii="Arial" w:eastAsiaTheme="minorHAnsi" w:hAnsi="Arial" w:cs="Arial"/>
          <w:lang w:val="es-CO"/>
        </w:rPr>
        <w:t>Huila</w:t>
      </w:r>
      <w:r w:rsidRPr="00DC70DA">
        <w:rPr>
          <w:rFonts w:ascii="Arial" w:eastAsiaTheme="minorHAnsi" w:hAnsi="Arial" w:cs="Arial"/>
          <w:lang w:val="es-CO"/>
        </w:rPr>
        <w:t xml:space="preserve">, </w:t>
      </w:r>
      <w:r>
        <w:rPr>
          <w:rFonts w:ascii="Arial" w:eastAsiaTheme="minorHAnsi" w:hAnsi="Arial" w:cs="Arial"/>
          <w:lang w:val="es-CO"/>
        </w:rPr>
        <w:t>La Guajira</w:t>
      </w:r>
      <w:r w:rsidRPr="00DC70DA">
        <w:rPr>
          <w:rFonts w:ascii="Arial" w:eastAsiaTheme="minorHAnsi" w:hAnsi="Arial" w:cs="Arial"/>
          <w:lang w:val="es-CO"/>
        </w:rPr>
        <w:t xml:space="preserve"> y </w:t>
      </w:r>
      <w:r>
        <w:rPr>
          <w:rFonts w:ascii="Arial" w:eastAsiaTheme="minorHAnsi" w:hAnsi="Arial" w:cs="Arial"/>
          <w:lang w:val="es-CO"/>
        </w:rPr>
        <w:t>Boyacá</w:t>
      </w:r>
      <w:r w:rsidRPr="00DC70DA">
        <w:rPr>
          <w:rFonts w:ascii="Arial" w:eastAsiaTheme="minorHAnsi" w:hAnsi="Arial" w:cs="Arial"/>
          <w:lang w:val="es-CO"/>
        </w:rPr>
        <w:t xml:space="preserve">, como uno de los que persiste en índices de desocupación por </w:t>
      </w:r>
      <w:r>
        <w:rPr>
          <w:rFonts w:ascii="Arial" w:eastAsiaTheme="minorHAnsi" w:hAnsi="Arial" w:cs="Arial"/>
          <w:lang w:val="es-CO"/>
        </w:rPr>
        <w:t>debajo</w:t>
      </w:r>
      <w:r w:rsidRPr="00DC70DA">
        <w:rPr>
          <w:rFonts w:ascii="Arial" w:eastAsiaTheme="minorHAnsi" w:hAnsi="Arial" w:cs="Arial"/>
          <w:lang w:val="es-CO"/>
        </w:rPr>
        <w:t xml:space="preserve"> del promedio nacional. Tal y como se pudo observar con anterioridad, las tasas de desempleo de </w:t>
      </w:r>
      <w:r>
        <w:rPr>
          <w:rFonts w:ascii="Arial" w:eastAsiaTheme="minorHAnsi" w:hAnsi="Arial" w:cs="Arial"/>
          <w:lang w:val="es-CO"/>
        </w:rPr>
        <w:t>Bolívar</w:t>
      </w:r>
      <w:r w:rsidRPr="00DC70DA">
        <w:rPr>
          <w:rFonts w:ascii="Arial" w:eastAsiaTheme="minorHAnsi" w:hAnsi="Arial" w:cs="Arial"/>
          <w:lang w:val="es-CO"/>
        </w:rPr>
        <w:t xml:space="preserve"> en 2011 y 2012 fueron de </w:t>
      </w:r>
      <w:r>
        <w:rPr>
          <w:rFonts w:ascii="Arial" w:eastAsiaTheme="minorHAnsi" w:hAnsi="Arial" w:cs="Arial"/>
          <w:lang w:val="es-CO"/>
        </w:rPr>
        <w:t>7</w:t>
      </w:r>
      <w:r w:rsidRPr="00DC70DA">
        <w:rPr>
          <w:rFonts w:ascii="Arial" w:eastAsiaTheme="minorHAnsi" w:hAnsi="Arial" w:cs="Arial"/>
          <w:lang w:val="es-CO"/>
        </w:rPr>
        <w:t>,</w:t>
      </w:r>
      <w:r>
        <w:rPr>
          <w:rFonts w:ascii="Arial" w:eastAsiaTheme="minorHAnsi" w:hAnsi="Arial" w:cs="Arial"/>
          <w:lang w:val="es-CO"/>
        </w:rPr>
        <w:t>7</w:t>
      </w:r>
      <w:r w:rsidRPr="00DC70DA">
        <w:rPr>
          <w:rFonts w:ascii="Arial" w:eastAsiaTheme="minorHAnsi" w:hAnsi="Arial" w:cs="Arial"/>
          <w:lang w:val="es-CO"/>
        </w:rPr>
        <w:t xml:space="preserve">2% y </w:t>
      </w:r>
      <w:r>
        <w:rPr>
          <w:rFonts w:ascii="Arial" w:eastAsiaTheme="minorHAnsi" w:hAnsi="Arial" w:cs="Arial"/>
          <w:lang w:val="es-CO"/>
        </w:rPr>
        <w:t>7</w:t>
      </w:r>
      <w:r w:rsidRPr="00DC70DA">
        <w:rPr>
          <w:rFonts w:ascii="Arial" w:eastAsiaTheme="minorHAnsi" w:hAnsi="Arial" w:cs="Arial"/>
          <w:lang w:val="es-CO"/>
        </w:rPr>
        <w:t>,</w:t>
      </w:r>
      <w:r>
        <w:rPr>
          <w:rFonts w:ascii="Arial" w:eastAsiaTheme="minorHAnsi" w:hAnsi="Arial" w:cs="Arial"/>
          <w:lang w:val="es-CO"/>
        </w:rPr>
        <w:t>62</w:t>
      </w:r>
      <w:r w:rsidRPr="00DC70DA">
        <w:rPr>
          <w:rFonts w:ascii="Arial" w:eastAsiaTheme="minorHAnsi" w:hAnsi="Arial" w:cs="Arial"/>
          <w:lang w:val="es-CO"/>
        </w:rPr>
        <w:t>%, respectivamente, frente a tasas de desempleo del país del orden del 10,4% en este último año.</w:t>
      </w:r>
    </w:p>
    <w:p w:rsidR="00B75C85" w:rsidRPr="00DC70DA" w:rsidRDefault="00B75C85" w:rsidP="00B75C85">
      <w:pPr>
        <w:autoSpaceDE w:val="0"/>
        <w:autoSpaceDN w:val="0"/>
        <w:adjustRightInd w:val="0"/>
        <w:spacing w:line="276" w:lineRule="auto"/>
        <w:jc w:val="both"/>
        <w:rPr>
          <w:rFonts w:ascii="Arial" w:eastAsiaTheme="minorHAnsi" w:hAnsi="Arial" w:cs="Arial"/>
          <w:lang w:val="es-CO"/>
        </w:rPr>
      </w:pPr>
    </w:p>
    <w:p w:rsidR="00B75C85" w:rsidRPr="00661885" w:rsidRDefault="00B75C85" w:rsidP="00661885">
      <w:pPr>
        <w:pStyle w:val="Epgrafe"/>
        <w:jc w:val="center"/>
        <w:rPr>
          <w:rFonts w:ascii="Arial" w:hAnsi="Arial" w:cs="Arial"/>
          <w:color w:val="auto"/>
          <w:sz w:val="22"/>
          <w:szCs w:val="22"/>
        </w:rPr>
      </w:pPr>
      <w:bookmarkStart w:id="75" w:name="_Toc385779577"/>
      <w:bookmarkStart w:id="76" w:name="_Toc385839227"/>
      <w:bookmarkStart w:id="77" w:name="_Toc386451972"/>
      <w:bookmarkStart w:id="78" w:name="_Toc387661522"/>
      <w:bookmarkStart w:id="79" w:name="_Toc389666974"/>
      <w:r w:rsidRPr="00661885">
        <w:rPr>
          <w:rFonts w:ascii="Arial" w:hAnsi="Arial" w:cs="Arial"/>
          <w:color w:val="auto"/>
          <w:sz w:val="22"/>
          <w:szCs w:val="22"/>
        </w:rPr>
        <w:t xml:space="preserve">Gráfico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Gráfico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18</w:t>
      </w:r>
      <w:r w:rsidRPr="00661885">
        <w:rPr>
          <w:rFonts w:ascii="Arial" w:hAnsi="Arial" w:cs="Arial"/>
          <w:color w:val="auto"/>
          <w:sz w:val="22"/>
          <w:szCs w:val="22"/>
        </w:rPr>
        <w:fldChar w:fldCharType="end"/>
      </w:r>
      <w:r w:rsidRPr="00661885">
        <w:rPr>
          <w:rFonts w:ascii="Arial" w:hAnsi="Arial" w:cs="Arial"/>
          <w:color w:val="auto"/>
          <w:sz w:val="22"/>
          <w:szCs w:val="22"/>
        </w:rPr>
        <w:t>. Posición relativa del departamento de Bolívar en TD</w:t>
      </w:r>
      <w:bookmarkEnd w:id="75"/>
      <w:bookmarkEnd w:id="76"/>
      <w:bookmarkEnd w:id="77"/>
      <w:bookmarkEnd w:id="78"/>
      <w:bookmarkEnd w:id="79"/>
    </w:p>
    <w:p w:rsidR="00B75C85" w:rsidRPr="00F4232B" w:rsidRDefault="00B75C85" w:rsidP="00B75C85">
      <w:pPr>
        <w:jc w:val="center"/>
        <w:rPr>
          <w:rFonts w:ascii="Arial" w:hAnsi="Arial" w:cs="Arial"/>
        </w:rPr>
      </w:pPr>
      <w:r>
        <w:rPr>
          <w:noProof/>
          <w:lang w:eastAsia="es-ES"/>
        </w:rPr>
        <w:drawing>
          <wp:inline distT="0" distB="0" distL="0" distR="0" wp14:anchorId="72BA61F9" wp14:editId="734D8CD5">
            <wp:extent cx="5076825" cy="3057525"/>
            <wp:effectExtent l="0" t="0" r="9525" b="9525"/>
            <wp:docPr id="5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75C85" w:rsidRPr="00983F65" w:rsidRDefault="00B75C85" w:rsidP="00B75C85">
      <w:pPr>
        <w:jc w:val="center"/>
        <w:rPr>
          <w:rFonts w:ascii="Arial" w:hAnsi="Arial" w:cs="Arial"/>
          <w:sz w:val="18"/>
          <w:szCs w:val="18"/>
        </w:rPr>
      </w:pPr>
      <w:r w:rsidRPr="00983F65">
        <w:rPr>
          <w:rFonts w:ascii="Arial" w:hAnsi="Arial" w:cs="Arial"/>
          <w:sz w:val="18"/>
          <w:szCs w:val="18"/>
        </w:rPr>
        <w:t>Fuente: Elaboración propia a partir de los datos del DANE. Gran Encuesta Integrada de Hogares, 2012</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DC70DA">
        <w:rPr>
          <w:rFonts w:ascii="Arial" w:eastAsiaTheme="minorHAnsi" w:hAnsi="Arial" w:cs="Arial"/>
          <w:lang w:val="es-CO"/>
        </w:rPr>
        <w:t xml:space="preserve">Si comparamos ahora las tasas de ocupación </w:t>
      </w:r>
      <w:r w:rsidR="001E7CCA">
        <w:rPr>
          <w:rFonts w:ascii="Arial" w:eastAsiaTheme="minorHAnsi" w:hAnsi="Arial" w:cs="Arial"/>
          <w:lang w:val="es-CO"/>
        </w:rPr>
        <w:t xml:space="preserve">que se muestran en el </w:t>
      </w:r>
      <w:r w:rsidR="001E7CCA" w:rsidRPr="000E62F2">
        <w:rPr>
          <w:rFonts w:ascii="Arial" w:eastAsiaTheme="minorHAnsi" w:hAnsi="Arial" w:cs="Arial"/>
          <w:lang w:val="es-CO"/>
        </w:rPr>
        <w:t>gráfico 19</w:t>
      </w:r>
      <w:r w:rsidRPr="000E62F2">
        <w:rPr>
          <w:rFonts w:ascii="Arial" w:eastAsiaTheme="minorHAnsi" w:hAnsi="Arial" w:cs="Arial"/>
          <w:lang w:val="es-CO"/>
        </w:rPr>
        <w:t xml:space="preserve"> (utilizando</w:t>
      </w:r>
      <w:r w:rsidRPr="00DC70DA">
        <w:rPr>
          <w:rFonts w:ascii="Arial" w:eastAsiaTheme="minorHAnsi" w:hAnsi="Arial" w:cs="Arial"/>
          <w:lang w:val="es-CO"/>
        </w:rPr>
        <w:t xml:space="preserve"> de manera análoga al gráfico anterior, un punto de referencia en los valores del agregado nacional) se observa que </w:t>
      </w:r>
      <w:r>
        <w:rPr>
          <w:rFonts w:ascii="Arial" w:eastAsiaTheme="minorHAnsi" w:hAnsi="Arial" w:cs="Arial"/>
          <w:lang w:val="es-CO"/>
        </w:rPr>
        <w:t>Bolívar</w:t>
      </w:r>
      <w:r w:rsidRPr="00DC70DA">
        <w:rPr>
          <w:rFonts w:ascii="Arial" w:eastAsiaTheme="minorHAnsi" w:hAnsi="Arial" w:cs="Arial"/>
          <w:lang w:val="es-CO"/>
        </w:rPr>
        <w:t xml:space="preserve"> aparece ubicado en el cuadrante inferior izquierdo, el cual concentra a los departamentos con tasas de ocupación por debajo del promedio nacional en los dos años analizados.</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C840E3" w:rsidRDefault="00C840E3"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DC70DA" w:rsidRDefault="00B75C85" w:rsidP="00B75C85">
      <w:pPr>
        <w:autoSpaceDE w:val="0"/>
        <w:autoSpaceDN w:val="0"/>
        <w:adjustRightInd w:val="0"/>
        <w:spacing w:line="276" w:lineRule="auto"/>
        <w:jc w:val="both"/>
        <w:rPr>
          <w:rFonts w:ascii="Arial" w:eastAsiaTheme="minorHAnsi" w:hAnsi="Arial" w:cs="Arial"/>
          <w:lang w:val="es-CO"/>
        </w:rPr>
      </w:pPr>
    </w:p>
    <w:p w:rsidR="00B75C85" w:rsidRPr="00DC70DA" w:rsidRDefault="00B75C85" w:rsidP="00B75C85">
      <w:pPr>
        <w:autoSpaceDE w:val="0"/>
        <w:autoSpaceDN w:val="0"/>
        <w:adjustRightInd w:val="0"/>
        <w:spacing w:line="276" w:lineRule="auto"/>
        <w:jc w:val="both"/>
        <w:rPr>
          <w:rFonts w:ascii="Arial" w:eastAsiaTheme="minorHAnsi" w:hAnsi="Arial" w:cs="Arial"/>
          <w:lang w:val="es-CO"/>
        </w:rPr>
      </w:pPr>
    </w:p>
    <w:p w:rsidR="00B75C85" w:rsidRPr="00661885" w:rsidRDefault="00B75C85" w:rsidP="00661885">
      <w:pPr>
        <w:pStyle w:val="Epgrafe"/>
        <w:jc w:val="center"/>
        <w:rPr>
          <w:rFonts w:ascii="Arial" w:hAnsi="Arial" w:cs="Arial"/>
          <w:color w:val="auto"/>
          <w:sz w:val="22"/>
          <w:szCs w:val="22"/>
        </w:rPr>
      </w:pPr>
      <w:bookmarkStart w:id="80" w:name="_Toc385779578"/>
      <w:bookmarkStart w:id="81" w:name="_Toc385839228"/>
      <w:bookmarkStart w:id="82" w:name="_Toc386451973"/>
      <w:bookmarkStart w:id="83" w:name="_Toc387661523"/>
      <w:bookmarkStart w:id="84" w:name="_Toc389666975"/>
      <w:r w:rsidRPr="00661885">
        <w:rPr>
          <w:rFonts w:ascii="Arial" w:hAnsi="Arial" w:cs="Arial"/>
          <w:color w:val="auto"/>
          <w:sz w:val="22"/>
          <w:szCs w:val="22"/>
        </w:rPr>
        <w:t xml:space="preserve">Gráfico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Gráfico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19</w:t>
      </w:r>
      <w:r w:rsidRPr="00661885">
        <w:rPr>
          <w:rFonts w:ascii="Arial" w:hAnsi="Arial" w:cs="Arial"/>
          <w:color w:val="auto"/>
          <w:sz w:val="22"/>
          <w:szCs w:val="22"/>
        </w:rPr>
        <w:fldChar w:fldCharType="end"/>
      </w:r>
      <w:r w:rsidRPr="00661885">
        <w:rPr>
          <w:rFonts w:ascii="Arial" w:hAnsi="Arial" w:cs="Arial"/>
          <w:color w:val="auto"/>
          <w:sz w:val="22"/>
          <w:szCs w:val="22"/>
        </w:rPr>
        <w:t>. Posición relativa del departamento de Bolívar en TO</w:t>
      </w:r>
      <w:bookmarkEnd w:id="80"/>
      <w:bookmarkEnd w:id="81"/>
      <w:bookmarkEnd w:id="82"/>
      <w:bookmarkEnd w:id="83"/>
      <w:bookmarkEnd w:id="84"/>
    </w:p>
    <w:p w:rsidR="00B75C85" w:rsidRPr="00F4232B" w:rsidRDefault="00B75C85" w:rsidP="00B75C85">
      <w:pPr>
        <w:jc w:val="center"/>
        <w:rPr>
          <w:rFonts w:ascii="Arial" w:hAnsi="Arial" w:cs="Arial"/>
        </w:rPr>
      </w:pPr>
      <w:r w:rsidRPr="00770E5B">
        <w:rPr>
          <w:rFonts w:ascii="Arial" w:hAnsi="Arial" w:cs="Arial"/>
          <w:noProof/>
          <w:lang w:eastAsia="es-CO"/>
        </w:rPr>
        <w:t xml:space="preserve"> </w:t>
      </w:r>
      <w:r>
        <w:rPr>
          <w:noProof/>
          <w:lang w:eastAsia="es-ES"/>
        </w:rPr>
        <w:drawing>
          <wp:inline distT="0" distB="0" distL="0" distR="0" wp14:anchorId="375504D8" wp14:editId="53A7ABDB">
            <wp:extent cx="5095875" cy="3152775"/>
            <wp:effectExtent l="0" t="0" r="9525" b="9525"/>
            <wp:docPr id="5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75C85" w:rsidRPr="00FE5D98" w:rsidRDefault="00B75C85" w:rsidP="00B75C85">
      <w:pPr>
        <w:jc w:val="center"/>
        <w:rPr>
          <w:rFonts w:ascii="Arial" w:hAnsi="Arial" w:cs="Arial"/>
          <w:sz w:val="18"/>
          <w:szCs w:val="18"/>
        </w:rPr>
      </w:pPr>
      <w:r w:rsidRPr="00FE5D98">
        <w:rPr>
          <w:rFonts w:ascii="Arial" w:hAnsi="Arial" w:cs="Arial"/>
          <w:sz w:val="18"/>
          <w:szCs w:val="18"/>
        </w:rPr>
        <w:t>Fuente: Elaboración propia a partir de los datos del DANE. Gran Encuesta Integrada de Hogares, 2012</w:t>
      </w:r>
    </w:p>
    <w:p w:rsidR="00DD43D1" w:rsidRDefault="00DD43D1" w:rsidP="00F57C80">
      <w:pPr>
        <w:spacing w:before="240" w:line="276" w:lineRule="auto"/>
        <w:jc w:val="both"/>
        <w:rPr>
          <w:rFonts w:ascii="Arial" w:hAnsi="Arial" w:cs="Arial"/>
          <w:bCs/>
        </w:rPr>
      </w:pPr>
      <w:r>
        <w:rPr>
          <w:rFonts w:ascii="Arial" w:hAnsi="Arial" w:cs="Arial"/>
          <w:bCs/>
        </w:rPr>
        <w:t>Estas últimas cifras muestran que aunque el departamento no se ubica entre los de situación de desempleo más crítica en el país, su capacidad para generar empleo requiere de importantes esfuerzos que comprometan a los actores sociales y económicos de la región.</w:t>
      </w:r>
    </w:p>
    <w:p w:rsidR="00B75C85" w:rsidRPr="008C3519" w:rsidRDefault="00B75C85" w:rsidP="00F57C80">
      <w:pPr>
        <w:spacing w:before="240" w:line="276" w:lineRule="auto"/>
        <w:jc w:val="both"/>
        <w:rPr>
          <w:rFonts w:ascii="Arial" w:hAnsi="Arial" w:cs="Arial"/>
          <w:bCs/>
        </w:rPr>
      </w:pPr>
      <w:r w:rsidRPr="008C3519">
        <w:rPr>
          <w:rFonts w:ascii="Arial" w:hAnsi="Arial" w:cs="Arial"/>
          <w:bCs/>
        </w:rPr>
        <w:t xml:space="preserve">Para el estudio un poco más detallado de la oferta y la demanda laboral del departamento, a continuación se descompone la variación interanual del número de desocupados desde </w:t>
      </w:r>
      <w:r w:rsidR="003B0F67">
        <w:rPr>
          <w:rFonts w:ascii="Arial" w:hAnsi="Arial" w:cs="Arial"/>
          <w:bCs/>
        </w:rPr>
        <w:t>el</w:t>
      </w:r>
      <w:r w:rsidR="003B0F67" w:rsidRPr="008C3519">
        <w:rPr>
          <w:rFonts w:ascii="Arial" w:hAnsi="Arial" w:cs="Arial"/>
          <w:bCs/>
        </w:rPr>
        <w:t xml:space="preserve"> </w:t>
      </w:r>
      <w:r w:rsidRPr="008C3519">
        <w:rPr>
          <w:rFonts w:ascii="Arial" w:hAnsi="Arial" w:cs="Arial"/>
          <w:bCs/>
        </w:rPr>
        <w:t xml:space="preserve">año 2001. Para tal propósito se utiliza la expresión de descomposición en la que la magnitud entre corchetes representa el efecto oferta laboral y </w:t>
      </w:r>
      <w:r w:rsidRPr="008C3519">
        <w:rPr>
          <w:rFonts w:ascii="Arial" w:hAnsi="Arial" w:cs="Arial"/>
          <w:bCs/>
        </w:rPr>
        <w:sym w:font="Symbol" w:char="F044"/>
      </w:r>
      <w:r w:rsidRPr="008C3519">
        <w:rPr>
          <w:rFonts w:ascii="Arial" w:hAnsi="Arial" w:cs="Arial"/>
          <w:bCs/>
        </w:rPr>
        <w:t>O la variación en el número de ocupados</w:t>
      </w:r>
      <w:r w:rsidRPr="008C3519">
        <w:rPr>
          <w:rStyle w:val="Refdenotaalpie"/>
          <w:rFonts w:ascii="Arial" w:hAnsi="Arial" w:cs="Arial"/>
          <w:bCs/>
        </w:rPr>
        <w:footnoteReference w:id="1"/>
      </w:r>
      <w:r w:rsidRPr="008C3519">
        <w:rPr>
          <w:rFonts w:ascii="Arial" w:hAnsi="Arial" w:cs="Arial"/>
          <w:bCs/>
        </w:rPr>
        <w:t xml:space="preserve">. </w:t>
      </w:r>
    </w:p>
    <w:p w:rsidR="00B75C85" w:rsidRPr="008C3519" w:rsidRDefault="00B75C85" w:rsidP="00F57C80">
      <w:pPr>
        <w:spacing w:before="240" w:line="276" w:lineRule="auto"/>
        <w:jc w:val="center"/>
        <w:rPr>
          <w:rFonts w:ascii="Arial" w:hAnsi="Arial" w:cs="Arial"/>
        </w:rPr>
      </w:pPr>
      <m:oMathPara>
        <m:oMath>
          <m:r>
            <w:rPr>
              <w:rFonts w:ascii="Cambria Math" w:hAnsi="Cambria Math" w:cs="Arial"/>
            </w:rPr>
            <m:t>∆D=[(∆TGP*PE</m:t>
          </m:r>
          <m:sSub>
            <m:sSubPr>
              <m:ctrlPr>
                <w:rPr>
                  <w:rFonts w:ascii="Cambria Math" w:hAnsi="Cambria Math" w:cs="Arial"/>
                  <w:i/>
                </w:rPr>
              </m:ctrlPr>
            </m:sSubPr>
            <m:e>
              <m:r>
                <w:rPr>
                  <w:rFonts w:ascii="Cambria Math" w:hAnsi="Cambria Math" w:cs="Arial"/>
                </w:rPr>
                <m:t>T</m:t>
              </m:r>
            </m:e>
            <m:sub>
              <m:r>
                <w:rPr>
                  <w:rFonts w:ascii="Cambria Math" w:hAnsi="Cambria Math" w:cs="Arial"/>
                </w:rPr>
                <m:t>0</m:t>
              </m:r>
            </m:sub>
          </m:sSub>
          <m:r>
            <w:rPr>
              <w:rFonts w:ascii="Cambria Math" w:hAnsi="Cambria Math" w:cs="Arial"/>
            </w:rPr>
            <m:t>)+(∆PET*TGP)+(∆TGP*∆PET)]-∆O</m:t>
          </m:r>
        </m:oMath>
      </m:oMathPara>
    </w:p>
    <w:p w:rsidR="00B75C85" w:rsidRPr="008C3519" w:rsidRDefault="00B75C85" w:rsidP="00F57C80">
      <w:pPr>
        <w:pStyle w:val="Prrafodelista"/>
        <w:spacing w:before="240" w:line="276" w:lineRule="auto"/>
        <w:ind w:left="0"/>
        <w:contextualSpacing w:val="0"/>
        <w:jc w:val="both"/>
        <w:rPr>
          <w:rFonts w:ascii="Arial" w:hAnsi="Arial" w:cs="Arial"/>
          <w:bCs/>
        </w:rPr>
      </w:pPr>
      <w:r w:rsidRPr="008C3519">
        <w:rPr>
          <w:rFonts w:ascii="Arial" w:hAnsi="Arial" w:cs="Arial"/>
          <w:bCs/>
        </w:rPr>
        <w:t>Esta ecuación permite apreciar cada uno de los efectos que aporta a la oferta laboral y el balance final cuando se considera el lado de la demanda en la dinámica del mercado de trabajo. Cada uno de estos efectos se detalla a continuación:</w:t>
      </w:r>
    </w:p>
    <w:p w:rsidR="00B75C85" w:rsidRPr="008C3519" w:rsidRDefault="00B75C85" w:rsidP="00DC6E74">
      <w:pPr>
        <w:pStyle w:val="Prrafodelista"/>
        <w:numPr>
          <w:ilvl w:val="0"/>
          <w:numId w:val="1"/>
        </w:numPr>
        <w:spacing w:before="240" w:after="200" w:line="276" w:lineRule="auto"/>
        <w:ind w:left="714" w:hanging="357"/>
        <w:contextualSpacing w:val="0"/>
        <w:jc w:val="both"/>
        <w:rPr>
          <w:rFonts w:ascii="Arial" w:hAnsi="Arial" w:cs="Arial"/>
          <w:bCs/>
        </w:rPr>
      </w:pPr>
      <w:r w:rsidRPr="008C3519">
        <w:rPr>
          <w:rFonts w:ascii="Arial" w:hAnsi="Arial" w:cs="Arial"/>
          <w:bCs/>
        </w:rPr>
        <w:t>Efecto total (</w:t>
      </w:r>
      <w:r w:rsidRPr="008C3519">
        <w:rPr>
          <w:rFonts w:ascii="Arial" w:hAnsi="Arial" w:cs="Arial"/>
          <w:bCs/>
        </w:rPr>
        <w:sym w:font="Symbol" w:char="F044"/>
      </w:r>
      <w:r w:rsidRPr="008C3519">
        <w:rPr>
          <w:rFonts w:ascii="Arial" w:hAnsi="Arial" w:cs="Arial"/>
          <w:bCs/>
        </w:rPr>
        <w:t>D): cambio en el desempleo de un período a otro</w:t>
      </w:r>
    </w:p>
    <w:p w:rsidR="00B75C85" w:rsidRPr="008C3519" w:rsidRDefault="00B75C85" w:rsidP="00DC6E74">
      <w:pPr>
        <w:pStyle w:val="Prrafodelista"/>
        <w:numPr>
          <w:ilvl w:val="0"/>
          <w:numId w:val="1"/>
        </w:numPr>
        <w:spacing w:before="240" w:after="200" w:line="276" w:lineRule="auto"/>
        <w:ind w:left="714" w:hanging="357"/>
        <w:contextualSpacing w:val="0"/>
        <w:jc w:val="both"/>
        <w:rPr>
          <w:rFonts w:ascii="Arial" w:hAnsi="Arial" w:cs="Arial"/>
          <w:bCs/>
        </w:rPr>
      </w:pPr>
      <w:r w:rsidRPr="008C3519">
        <w:rPr>
          <w:rFonts w:ascii="Arial" w:hAnsi="Arial" w:cs="Arial"/>
          <w:bCs/>
        </w:rPr>
        <w:lastRenderedPageBreak/>
        <w:t xml:space="preserve">Efecto participación </w:t>
      </w:r>
      <m:oMath>
        <m:r>
          <w:rPr>
            <w:rFonts w:ascii="Cambria Math" w:hAnsi="Cambria Math" w:cs="Arial"/>
          </w:rPr>
          <m:t>(∆TGP*PE</m:t>
        </m:r>
        <m:sSub>
          <m:sSubPr>
            <m:ctrlPr>
              <w:rPr>
                <w:rFonts w:ascii="Cambria Math" w:hAnsi="Cambria Math" w:cs="Arial"/>
                <w:i/>
              </w:rPr>
            </m:ctrlPr>
          </m:sSubPr>
          <m:e>
            <m:r>
              <w:rPr>
                <w:rFonts w:ascii="Cambria Math" w:hAnsi="Cambria Math" w:cs="Arial"/>
              </w:rPr>
              <m:t>T</m:t>
            </m:r>
          </m:e>
          <m:sub>
            <m:r>
              <w:rPr>
                <w:rFonts w:ascii="Cambria Math" w:hAnsi="Cambria Math" w:cs="Arial"/>
              </w:rPr>
              <m:t>0</m:t>
            </m:r>
          </m:sub>
        </m:sSub>
        <m:r>
          <w:rPr>
            <w:rFonts w:ascii="Cambria Math" w:hAnsi="Cambria Math" w:cs="Arial"/>
          </w:rPr>
          <m:t>)</m:t>
        </m:r>
      </m:oMath>
      <w:r w:rsidRPr="008C3519">
        <w:rPr>
          <w:rFonts w:ascii="Arial" w:hAnsi="Arial" w:cs="Arial"/>
        </w:rPr>
        <w:t>: muestra los cambios atribuibles a las variaciones en la participación laboral.</w:t>
      </w:r>
    </w:p>
    <w:p w:rsidR="00B75C85" w:rsidRPr="008C3519" w:rsidRDefault="00B75C85" w:rsidP="00DC6E74">
      <w:pPr>
        <w:pStyle w:val="Prrafodelista"/>
        <w:numPr>
          <w:ilvl w:val="0"/>
          <w:numId w:val="1"/>
        </w:numPr>
        <w:spacing w:before="240" w:after="200" w:line="276" w:lineRule="auto"/>
        <w:ind w:left="714" w:hanging="357"/>
        <w:contextualSpacing w:val="0"/>
        <w:jc w:val="both"/>
        <w:rPr>
          <w:rFonts w:ascii="Arial" w:hAnsi="Arial" w:cs="Arial"/>
          <w:bCs/>
        </w:rPr>
      </w:pPr>
      <w:r w:rsidRPr="008C3519">
        <w:rPr>
          <w:rFonts w:ascii="Arial" w:hAnsi="Arial" w:cs="Arial"/>
        </w:rPr>
        <w:t xml:space="preserve">Efecto demográfico </w:t>
      </w:r>
      <m:oMath>
        <m:r>
          <w:rPr>
            <w:rFonts w:ascii="Cambria Math" w:hAnsi="Cambria Math" w:cs="Arial"/>
          </w:rPr>
          <m:t>(∆PET*TGP)</m:t>
        </m:r>
      </m:oMath>
      <w:r w:rsidRPr="008C3519">
        <w:rPr>
          <w:rFonts w:ascii="Arial" w:hAnsi="Arial" w:cs="Arial"/>
        </w:rPr>
        <w:t>: mide la variación en la PET y que puede provenir de las  dinámicas de crecimiento vegetativo o de las dinámicas migratorias.</w:t>
      </w:r>
    </w:p>
    <w:p w:rsidR="00B75C85" w:rsidRPr="008C3519" w:rsidRDefault="00B75C85" w:rsidP="00DC6E74">
      <w:pPr>
        <w:pStyle w:val="Prrafodelista"/>
        <w:numPr>
          <w:ilvl w:val="0"/>
          <w:numId w:val="1"/>
        </w:numPr>
        <w:spacing w:before="240" w:after="200" w:line="276" w:lineRule="auto"/>
        <w:ind w:left="714" w:hanging="357"/>
        <w:contextualSpacing w:val="0"/>
        <w:jc w:val="both"/>
        <w:rPr>
          <w:rFonts w:ascii="Arial" w:hAnsi="Arial" w:cs="Arial"/>
          <w:bCs/>
        </w:rPr>
      </w:pPr>
      <w:r w:rsidRPr="008C3519">
        <w:rPr>
          <w:rFonts w:ascii="Arial" w:hAnsi="Arial" w:cs="Arial"/>
        </w:rPr>
        <w:t xml:space="preserve">Efecto combinado </w:t>
      </w:r>
      <m:oMath>
        <m:r>
          <w:rPr>
            <w:rFonts w:ascii="Cambria Math" w:hAnsi="Cambria Math" w:cs="Arial"/>
          </w:rPr>
          <m:t>(∆TGP*∆PET)</m:t>
        </m:r>
      </m:oMath>
      <w:r w:rsidRPr="008C3519">
        <w:rPr>
          <w:rFonts w:ascii="Arial" w:hAnsi="Arial" w:cs="Arial"/>
        </w:rPr>
        <w:t>: capta ambos efectos al tiempo y en los cálculos tiende a ser pequeño.</w:t>
      </w:r>
    </w:p>
    <w:p w:rsidR="00B75C85" w:rsidRPr="008C3519" w:rsidRDefault="00B75C85" w:rsidP="00DC6E74">
      <w:pPr>
        <w:pStyle w:val="Prrafodelista"/>
        <w:numPr>
          <w:ilvl w:val="0"/>
          <w:numId w:val="1"/>
        </w:numPr>
        <w:spacing w:before="240" w:after="200" w:line="276" w:lineRule="auto"/>
        <w:ind w:left="714" w:hanging="357"/>
        <w:contextualSpacing w:val="0"/>
        <w:jc w:val="both"/>
        <w:rPr>
          <w:rFonts w:ascii="Arial" w:hAnsi="Arial" w:cs="Arial"/>
          <w:bCs/>
        </w:rPr>
      </w:pPr>
      <w:r w:rsidRPr="008C3519">
        <w:rPr>
          <w:rFonts w:ascii="Arial" w:hAnsi="Arial" w:cs="Arial"/>
        </w:rPr>
        <w:t>Efecto de la demanda laboral (</w:t>
      </w:r>
      <w:r w:rsidRPr="008C3519">
        <w:rPr>
          <w:rFonts w:ascii="Arial" w:hAnsi="Arial" w:cs="Arial"/>
        </w:rPr>
        <w:sym w:font="Symbol" w:char="F044"/>
      </w:r>
      <w:r w:rsidRPr="008C3519">
        <w:rPr>
          <w:rFonts w:ascii="Arial" w:hAnsi="Arial" w:cs="Arial"/>
        </w:rPr>
        <w:t xml:space="preserve">O): mide la dinámica de la ocupación entre dos periodos. </w:t>
      </w:r>
    </w:p>
    <w:p w:rsidR="00B75C85" w:rsidRPr="008C3519" w:rsidRDefault="00B75C85" w:rsidP="00F57C80">
      <w:pPr>
        <w:spacing w:before="240" w:line="276" w:lineRule="auto"/>
        <w:jc w:val="both"/>
        <w:rPr>
          <w:rFonts w:ascii="Arial" w:hAnsi="Arial" w:cs="Arial"/>
          <w:bCs/>
        </w:rPr>
      </w:pPr>
      <w:r w:rsidRPr="008C3519">
        <w:rPr>
          <w:rFonts w:ascii="Arial" w:hAnsi="Arial" w:cs="Arial"/>
          <w:bCs/>
        </w:rPr>
        <w:t xml:space="preserve">La utilidad de este ejercicio estriba en que permite detectar las fuentes de variación de la desocupación, mide la magnitud de cada uno de los efectos y coadyuva a diagnosticar las tendencias predominantes en determinados periodos. </w:t>
      </w:r>
    </w:p>
    <w:p w:rsidR="00B75C85" w:rsidRDefault="00B75C85" w:rsidP="00F57C80">
      <w:pPr>
        <w:spacing w:before="240" w:line="276" w:lineRule="auto"/>
        <w:jc w:val="both"/>
        <w:rPr>
          <w:rFonts w:ascii="Arial" w:hAnsi="Arial" w:cs="Arial"/>
          <w:bCs/>
        </w:rPr>
      </w:pPr>
      <w:r w:rsidRPr="008C3519">
        <w:rPr>
          <w:rFonts w:ascii="Arial" w:hAnsi="Arial" w:cs="Arial"/>
          <w:bCs/>
        </w:rPr>
        <w:t xml:space="preserve">Los cálculos de los dos efectos agregados de oferta y demanda laboral para el departamento de </w:t>
      </w:r>
      <w:r>
        <w:rPr>
          <w:rFonts w:ascii="Arial" w:hAnsi="Arial" w:cs="Arial"/>
          <w:bCs/>
        </w:rPr>
        <w:t>Bolívar</w:t>
      </w:r>
      <w:r w:rsidRPr="008C3519">
        <w:rPr>
          <w:rFonts w:ascii="Arial" w:hAnsi="Arial" w:cs="Arial"/>
          <w:bCs/>
        </w:rPr>
        <w:t xml:space="preserve">, se </w:t>
      </w:r>
      <w:r w:rsidR="001E7CCA">
        <w:rPr>
          <w:rFonts w:ascii="Arial" w:hAnsi="Arial" w:cs="Arial"/>
          <w:bCs/>
        </w:rPr>
        <w:t xml:space="preserve">pueden apreciar en </w:t>
      </w:r>
      <w:r w:rsidR="001E7CCA" w:rsidRPr="00C840E3">
        <w:rPr>
          <w:rFonts w:ascii="Arial" w:hAnsi="Arial" w:cs="Arial"/>
          <w:bCs/>
        </w:rPr>
        <w:t>el gráfico 20</w:t>
      </w:r>
      <w:r w:rsidRPr="00C840E3">
        <w:rPr>
          <w:rFonts w:ascii="Arial" w:hAnsi="Arial" w:cs="Arial"/>
          <w:bCs/>
        </w:rPr>
        <w:t>.</w:t>
      </w:r>
      <w:r w:rsidRPr="008C3519">
        <w:rPr>
          <w:rFonts w:ascii="Arial" w:hAnsi="Arial" w:cs="Arial"/>
          <w:bCs/>
        </w:rPr>
        <w:t xml:space="preserve"> Durante el período analizado se observan variaciones importantes de la oferta laboral, fundamentalmente en los años 2008, 2009 y 2010, y un crecimiento absoluto sobresaliente en 2011, año en el que precisamente el efecto de la demanda laboral también aumentó en una proporción considerable, generando así un efecto neto relativamente bajo en </w:t>
      </w:r>
      <w:r w:rsidR="003B0F67">
        <w:rPr>
          <w:rFonts w:ascii="Arial" w:hAnsi="Arial" w:cs="Arial"/>
          <w:bCs/>
        </w:rPr>
        <w:t>la variación de los desocupados</w:t>
      </w:r>
      <w:r w:rsidRPr="008C3519">
        <w:rPr>
          <w:rFonts w:ascii="Arial" w:hAnsi="Arial" w:cs="Arial"/>
          <w:bCs/>
        </w:rPr>
        <w:t xml:space="preserve">. En este año, de acuerdo con los cálculos obtenidos a partir de la GEIH, los cerca de 2.300 nuevos desempleados surgen por la alta magnitud de la oferta laboral, que superó la dinámica de la </w:t>
      </w:r>
      <w:r w:rsidR="003B0F67">
        <w:rPr>
          <w:rFonts w:ascii="Arial" w:hAnsi="Arial" w:cs="Arial"/>
          <w:bCs/>
        </w:rPr>
        <w:t>demanda laboral</w:t>
      </w:r>
      <w:r w:rsidR="003B0F67" w:rsidRPr="008C3519">
        <w:rPr>
          <w:rFonts w:ascii="Arial" w:hAnsi="Arial" w:cs="Arial"/>
          <w:bCs/>
        </w:rPr>
        <w:t xml:space="preserve"> </w:t>
      </w:r>
      <w:r w:rsidRPr="008C3519">
        <w:rPr>
          <w:rFonts w:ascii="Arial" w:hAnsi="Arial" w:cs="Arial"/>
          <w:bCs/>
        </w:rPr>
        <w:t>entre los años 2008-2009.</w:t>
      </w:r>
    </w:p>
    <w:p w:rsidR="00F57C80" w:rsidRPr="008C3519" w:rsidRDefault="00F57C80" w:rsidP="00B75C85">
      <w:pPr>
        <w:spacing w:before="240"/>
        <w:jc w:val="both"/>
        <w:rPr>
          <w:rFonts w:ascii="Arial" w:hAnsi="Arial" w:cs="Arial"/>
          <w:bCs/>
        </w:rPr>
      </w:pPr>
    </w:p>
    <w:p w:rsidR="00B75C85" w:rsidRPr="00F57C80" w:rsidRDefault="00F57C80" w:rsidP="00F57C80">
      <w:pPr>
        <w:pStyle w:val="Epgrafe"/>
        <w:jc w:val="center"/>
        <w:rPr>
          <w:rFonts w:ascii="Arial" w:eastAsiaTheme="minorHAnsi" w:hAnsi="Arial" w:cs="Arial"/>
          <w:noProof/>
          <w:color w:val="auto"/>
          <w:sz w:val="22"/>
          <w:szCs w:val="22"/>
          <w:lang w:val="es-CO"/>
        </w:rPr>
      </w:pPr>
      <w:bookmarkStart w:id="85" w:name="_Toc389666976"/>
      <w:r w:rsidRPr="000E62F2">
        <w:rPr>
          <w:rFonts w:ascii="Arial" w:hAnsi="Arial" w:cs="Arial"/>
          <w:color w:val="auto"/>
          <w:sz w:val="22"/>
          <w:szCs w:val="22"/>
        </w:rPr>
        <w:t xml:space="preserve">Gráfico </w:t>
      </w:r>
      <w:r w:rsidRPr="000E62F2">
        <w:rPr>
          <w:rFonts w:ascii="Arial" w:hAnsi="Arial" w:cs="Arial"/>
          <w:color w:val="auto"/>
          <w:sz w:val="22"/>
          <w:szCs w:val="22"/>
        </w:rPr>
        <w:fldChar w:fldCharType="begin"/>
      </w:r>
      <w:r w:rsidRPr="000E62F2">
        <w:rPr>
          <w:rFonts w:ascii="Arial" w:hAnsi="Arial" w:cs="Arial"/>
          <w:color w:val="auto"/>
          <w:sz w:val="22"/>
          <w:szCs w:val="22"/>
        </w:rPr>
        <w:instrText xml:space="preserve"> SEQ Gráfico \* ARABIC </w:instrText>
      </w:r>
      <w:r w:rsidRPr="000E62F2">
        <w:rPr>
          <w:rFonts w:ascii="Arial" w:hAnsi="Arial" w:cs="Arial"/>
          <w:color w:val="auto"/>
          <w:sz w:val="22"/>
          <w:szCs w:val="22"/>
        </w:rPr>
        <w:fldChar w:fldCharType="separate"/>
      </w:r>
      <w:r w:rsidR="00D9744C" w:rsidRPr="000E62F2">
        <w:rPr>
          <w:rFonts w:ascii="Arial" w:hAnsi="Arial" w:cs="Arial"/>
          <w:noProof/>
          <w:color w:val="auto"/>
          <w:sz w:val="22"/>
          <w:szCs w:val="22"/>
        </w:rPr>
        <w:t>20</w:t>
      </w:r>
      <w:r w:rsidRPr="000E62F2">
        <w:rPr>
          <w:rFonts w:ascii="Arial" w:hAnsi="Arial" w:cs="Arial"/>
          <w:color w:val="auto"/>
          <w:sz w:val="22"/>
          <w:szCs w:val="22"/>
        </w:rPr>
        <w:fldChar w:fldCharType="end"/>
      </w:r>
      <w:r w:rsidR="00B75C85" w:rsidRPr="000E62F2">
        <w:rPr>
          <w:rFonts w:ascii="Arial" w:eastAsiaTheme="minorHAnsi" w:hAnsi="Arial" w:cs="Arial"/>
          <w:noProof/>
          <w:color w:val="auto"/>
          <w:sz w:val="22"/>
          <w:szCs w:val="22"/>
          <w:lang w:val="es-CO"/>
        </w:rPr>
        <w:t>. Efecto oferta</w:t>
      </w:r>
      <w:r w:rsidR="00B75C85" w:rsidRPr="00F57C80">
        <w:rPr>
          <w:rFonts w:ascii="Arial" w:eastAsiaTheme="minorHAnsi" w:hAnsi="Arial" w:cs="Arial"/>
          <w:noProof/>
          <w:color w:val="auto"/>
          <w:sz w:val="22"/>
          <w:szCs w:val="22"/>
          <w:lang w:val="es-CO"/>
        </w:rPr>
        <w:t xml:space="preserve"> y efecto demanda en el mercado laboral de Bolívar</w:t>
      </w:r>
      <w:bookmarkEnd w:id="85"/>
    </w:p>
    <w:p w:rsidR="00B75C85" w:rsidRDefault="00B75C85" w:rsidP="00B75C85">
      <w:pPr>
        <w:ind w:left="357"/>
        <w:jc w:val="center"/>
        <w:rPr>
          <w:rFonts w:cs="Arial"/>
          <w:bCs/>
        </w:rPr>
      </w:pPr>
      <w:r>
        <w:rPr>
          <w:noProof/>
          <w:lang w:eastAsia="es-ES"/>
        </w:rPr>
        <w:drawing>
          <wp:inline distT="0" distB="0" distL="0" distR="0" wp14:anchorId="639170F9" wp14:editId="5DA7F1F9">
            <wp:extent cx="4572000" cy="2419350"/>
            <wp:effectExtent l="0" t="0" r="19050" b="19050"/>
            <wp:docPr id="5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75C85" w:rsidRDefault="00B75C85" w:rsidP="00B75C85">
      <w:pPr>
        <w:pStyle w:val="Epgrafe"/>
        <w:keepNext/>
        <w:jc w:val="center"/>
        <w:rPr>
          <w:rFonts w:ascii="Arial" w:hAnsi="Arial"/>
          <w:b w:val="0"/>
          <w:color w:val="auto"/>
        </w:rPr>
      </w:pPr>
      <w:r w:rsidRPr="00A8484A">
        <w:rPr>
          <w:rFonts w:ascii="Arial" w:hAnsi="Arial"/>
          <w:b w:val="0"/>
          <w:color w:val="auto"/>
        </w:rPr>
        <w:t>Fuente: DANE</w:t>
      </w:r>
      <w:r w:rsidRPr="00A8484A">
        <w:rPr>
          <w:rFonts w:ascii="Arial" w:hAnsi="Arial" w:cs="Arial"/>
          <w:b w:val="0"/>
          <w:noProof/>
          <w:color w:val="auto"/>
        </w:rPr>
        <w:t>.</w:t>
      </w:r>
      <w:r w:rsidRPr="00A8484A">
        <w:rPr>
          <w:rFonts w:ascii="Arial" w:hAnsi="Arial"/>
          <w:b w:val="0"/>
          <w:color w:val="auto"/>
        </w:rPr>
        <w:t xml:space="preserve"> Gran Encuesta Integrada de Hogares, GEIH, </w:t>
      </w:r>
      <w:r w:rsidRPr="00A8484A">
        <w:rPr>
          <w:rFonts w:ascii="Arial" w:hAnsi="Arial" w:cs="Arial"/>
          <w:b w:val="0"/>
          <w:noProof/>
          <w:color w:val="auto"/>
        </w:rPr>
        <w:t>2</w:t>
      </w:r>
      <w:r w:rsidRPr="00A8484A">
        <w:rPr>
          <w:rFonts w:ascii="Arial" w:hAnsi="Arial"/>
          <w:b w:val="0"/>
          <w:color w:val="auto"/>
        </w:rPr>
        <w:t>012</w:t>
      </w:r>
    </w:p>
    <w:p w:rsidR="00B75C85" w:rsidRDefault="00B75C85" w:rsidP="001E7CCA">
      <w:pPr>
        <w:spacing w:before="240" w:line="276" w:lineRule="auto"/>
        <w:jc w:val="both"/>
        <w:rPr>
          <w:rFonts w:ascii="Arial" w:hAnsi="Arial" w:cs="Arial"/>
          <w:bCs/>
        </w:rPr>
      </w:pPr>
      <w:r w:rsidRPr="00436018">
        <w:rPr>
          <w:rFonts w:ascii="Arial" w:hAnsi="Arial" w:cs="Arial"/>
          <w:bCs/>
        </w:rPr>
        <w:t xml:space="preserve">Al observar los datos del año 2012 se pudo ver que el número de desempleados registrados en la GEIH fue de 1.811 personas. Esto se explica por un ligero mayor </w:t>
      </w:r>
      <w:r w:rsidRPr="00436018">
        <w:rPr>
          <w:rFonts w:ascii="Arial" w:hAnsi="Arial" w:cs="Arial"/>
          <w:bCs/>
        </w:rPr>
        <w:lastRenderedPageBreak/>
        <w:t>dinamismo de la oferta laboral (</w:t>
      </w:r>
      <w:r w:rsidRPr="00436018">
        <w:rPr>
          <w:rFonts w:ascii="Arial" w:hAnsi="Arial" w:cs="Arial"/>
          <w:bCs/>
        </w:rPr>
        <w:sym w:font="Symbol" w:char="F044"/>
      </w:r>
      <w:r w:rsidRPr="00436018">
        <w:rPr>
          <w:rFonts w:ascii="Arial" w:hAnsi="Arial" w:cs="Arial"/>
          <w:bCs/>
        </w:rPr>
        <w:t xml:space="preserve"> oferta = </w:t>
      </w:r>
      <w:r w:rsidRPr="00436018">
        <w:rPr>
          <w:rFonts w:ascii="Arial" w:eastAsia="Times New Roman" w:hAnsi="Arial" w:cs="Arial"/>
          <w:color w:val="000000"/>
          <w:lang w:eastAsia="es-CO"/>
        </w:rPr>
        <w:t>35.346 personas</w:t>
      </w:r>
      <w:r w:rsidRPr="00436018">
        <w:rPr>
          <w:rFonts w:ascii="Arial" w:hAnsi="Arial" w:cs="Arial"/>
          <w:bCs/>
        </w:rPr>
        <w:t>), respecto a la demanda laboral (</w:t>
      </w:r>
      <w:r w:rsidRPr="00436018">
        <w:rPr>
          <w:rFonts w:ascii="Arial" w:hAnsi="Arial" w:cs="Arial"/>
          <w:bCs/>
        </w:rPr>
        <w:sym w:font="Symbol" w:char="F044"/>
      </w:r>
      <w:r w:rsidRPr="00436018">
        <w:rPr>
          <w:rFonts w:ascii="Arial" w:hAnsi="Arial" w:cs="Arial"/>
          <w:bCs/>
        </w:rPr>
        <w:t xml:space="preserve">O = </w:t>
      </w:r>
      <w:r w:rsidRPr="00436018">
        <w:rPr>
          <w:rFonts w:ascii="Arial" w:eastAsia="Times New Roman" w:hAnsi="Arial" w:cs="Arial"/>
          <w:color w:val="000000"/>
          <w:lang w:eastAsia="es-CO"/>
        </w:rPr>
        <w:t xml:space="preserve">33.535 </w:t>
      </w:r>
      <w:r w:rsidRPr="00436018">
        <w:rPr>
          <w:rFonts w:ascii="Arial" w:hAnsi="Arial" w:cs="Arial"/>
          <w:bCs/>
        </w:rPr>
        <w:t xml:space="preserve">personas), la cual presentó una importante contracción respecto al período inmediatamente </w:t>
      </w:r>
      <w:r w:rsidRPr="00C840E3">
        <w:rPr>
          <w:rFonts w:ascii="Arial" w:hAnsi="Arial" w:cs="Arial"/>
          <w:bCs/>
        </w:rPr>
        <w:t>anterior debido predominantemente a la caída en la participación en el mercado de trabajo. E</w:t>
      </w:r>
      <w:r w:rsidR="001E7CCA" w:rsidRPr="00C840E3">
        <w:rPr>
          <w:rFonts w:ascii="Arial" w:hAnsi="Arial" w:cs="Arial"/>
          <w:bCs/>
        </w:rPr>
        <w:t>l gráfico 21</w:t>
      </w:r>
      <w:r w:rsidRPr="00436018">
        <w:rPr>
          <w:rFonts w:ascii="Arial" w:hAnsi="Arial" w:cs="Arial"/>
          <w:bCs/>
        </w:rPr>
        <w:t xml:space="preserve"> muestra los subcomponentes de la oferta laboral. </w:t>
      </w:r>
    </w:p>
    <w:p w:rsidR="00B75C85" w:rsidRPr="00436018" w:rsidRDefault="00B75C85" w:rsidP="00B75C85">
      <w:pPr>
        <w:spacing w:before="240"/>
        <w:jc w:val="both"/>
        <w:rPr>
          <w:rFonts w:ascii="Arial" w:hAnsi="Arial" w:cs="Arial"/>
          <w:bCs/>
        </w:rPr>
      </w:pPr>
    </w:p>
    <w:p w:rsidR="00B75C85" w:rsidRPr="00F57C80" w:rsidRDefault="00F57C80" w:rsidP="00F57C80">
      <w:pPr>
        <w:pStyle w:val="Epgrafe"/>
        <w:jc w:val="center"/>
        <w:rPr>
          <w:rFonts w:ascii="Arial" w:eastAsiaTheme="minorHAnsi" w:hAnsi="Arial" w:cs="Arial"/>
          <w:noProof/>
          <w:color w:val="auto"/>
          <w:sz w:val="22"/>
          <w:szCs w:val="22"/>
          <w:lang w:val="es-CO"/>
        </w:rPr>
      </w:pPr>
      <w:bookmarkStart w:id="86" w:name="_Toc389666977"/>
      <w:r w:rsidRPr="00F57C80">
        <w:rPr>
          <w:rFonts w:ascii="Arial" w:hAnsi="Arial" w:cs="Arial"/>
          <w:color w:val="auto"/>
          <w:sz w:val="22"/>
          <w:szCs w:val="22"/>
        </w:rPr>
        <w:t xml:space="preserve">Gráfico </w:t>
      </w:r>
      <w:r w:rsidRPr="00F57C80">
        <w:rPr>
          <w:rFonts w:ascii="Arial" w:hAnsi="Arial" w:cs="Arial"/>
          <w:color w:val="auto"/>
          <w:sz w:val="22"/>
          <w:szCs w:val="22"/>
        </w:rPr>
        <w:fldChar w:fldCharType="begin"/>
      </w:r>
      <w:r w:rsidRPr="00F57C80">
        <w:rPr>
          <w:rFonts w:ascii="Arial" w:hAnsi="Arial" w:cs="Arial"/>
          <w:color w:val="auto"/>
          <w:sz w:val="22"/>
          <w:szCs w:val="22"/>
        </w:rPr>
        <w:instrText xml:space="preserve"> SEQ Gráfico \* ARABIC </w:instrText>
      </w:r>
      <w:r w:rsidRPr="00F57C80">
        <w:rPr>
          <w:rFonts w:ascii="Arial" w:hAnsi="Arial" w:cs="Arial"/>
          <w:color w:val="auto"/>
          <w:sz w:val="22"/>
          <w:szCs w:val="22"/>
        </w:rPr>
        <w:fldChar w:fldCharType="separate"/>
      </w:r>
      <w:r w:rsidR="00D9744C">
        <w:rPr>
          <w:rFonts w:ascii="Arial" w:hAnsi="Arial" w:cs="Arial"/>
          <w:noProof/>
          <w:color w:val="auto"/>
          <w:sz w:val="22"/>
          <w:szCs w:val="22"/>
        </w:rPr>
        <w:t>21</w:t>
      </w:r>
      <w:r w:rsidRPr="00F57C80">
        <w:rPr>
          <w:rFonts w:ascii="Arial" w:hAnsi="Arial" w:cs="Arial"/>
          <w:color w:val="auto"/>
          <w:sz w:val="22"/>
          <w:szCs w:val="22"/>
        </w:rPr>
        <w:fldChar w:fldCharType="end"/>
      </w:r>
      <w:r w:rsidR="00B75C85" w:rsidRPr="00F57C80">
        <w:rPr>
          <w:rFonts w:ascii="Arial" w:eastAsiaTheme="minorHAnsi" w:hAnsi="Arial" w:cs="Arial"/>
          <w:noProof/>
          <w:color w:val="auto"/>
          <w:sz w:val="22"/>
          <w:szCs w:val="22"/>
          <w:lang w:val="es-CO"/>
        </w:rPr>
        <w:t>. Efecto participación y efecto demográfico en el mercado laboral de Bolívar</w:t>
      </w:r>
      <w:bookmarkEnd w:id="86"/>
    </w:p>
    <w:p w:rsidR="00B75C85" w:rsidRPr="008C3519" w:rsidRDefault="00B75C85" w:rsidP="00B75C85">
      <w:pPr>
        <w:jc w:val="center"/>
        <w:rPr>
          <w:rFonts w:ascii="Arial" w:eastAsiaTheme="minorHAnsi" w:hAnsi="Arial" w:cs="Arial"/>
          <w:lang w:val="es-CO"/>
        </w:rPr>
      </w:pPr>
      <w:r>
        <w:rPr>
          <w:noProof/>
          <w:lang w:eastAsia="es-ES"/>
        </w:rPr>
        <w:drawing>
          <wp:inline distT="0" distB="0" distL="0" distR="0" wp14:anchorId="0EFABE6B" wp14:editId="4467C3FF">
            <wp:extent cx="4710112" cy="2743200"/>
            <wp:effectExtent l="0" t="0" r="14605" b="19050"/>
            <wp:docPr id="5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75C85" w:rsidRDefault="00B75C85" w:rsidP="00B75C85">
      <w:pPr>
        <w:pStyle w:val="Epgrafe"/>
        <w:keepNext/>
        <w:jc w:val="center"/>
        <w:rPr>
          <w:rFonts w:ascii="Arial" w:hAnsi="Arial"/>
          <w:b w:val="0"/>
          <w:color w:val="auto"/>
        </w:rPr>
      </w:pPr>
      <w:r w:rsidRPr="00A8484A">
        <w:rPr>
          <w:rFonts w:ascii="Arial" w:hAnsi="Arial"/>
          <w:b w:val="0"/>
          <w:color w:val="auto"/>
        </w:rPr>
        <w:t>Fuente: DANE</w:t>
      </w:r>
      <w:r w:rsidRPr="008C3519">
        <w:rPr>
          <w:rFonts w:ascii="Arial" w:hAnsi="Arial"/>
          <w:b w:val="0"/>
          <w:color w:val="auto"/>
        </w:rPr>
        <w:t>.</w:t>
      </w:r>
      <w:r w:rsidRPr="00A8484A">
        <w:rPr>
          <w:rFonts w:ascii="Arial" w:hAnsi="Arial"/>
          <w:b w:val="0"/>
          <w:color w:val="auto"/>
        </w:rPr>
        <w:t xml:space="preserve"> Gran Encuesta Integrada de Hogares, GEIH, </w:t>
      </w:r>
      <w:r w:rsidRPr="008C3519">
        <w:rPr>
          <w:rFonts w:ascii="Arial" w:hAnsi="Arial"/>
          <w:b w:val="0"/>
          <w:color w:val="auto"/>
        </w:rPr>
        <w:t>2</w:t>
      </w:r>
      <w:r w:rsidRPr="00A8484A">
        <w:rPr>
          <w:rFonts w:ascii="Arial" w:hAnsi="Arial"/>
          <w:b w:val="0"/>
          <w:color w:val="auto"/>
        </w:rPr>
        <w:t>012</w:t>
      </w:r>
    </w:p>
    <w:p w:rsidR="001E6853" w:rsidRDefault="001E6853" w:rsidP="000145B6"/>
    <w:p w:rsidR="001E6853" w:rsidRPr="00482FA9" w:rsidRDefault="001E6853" w:rsidP="000145B6">
      <w:pPr>
        <w:rPr>
          <w:rFonts w:ascii="Arial" w:hAnsi="Arial" w:cs="Arial"/>
        </w:rPr>
      </w:pPr>
      <w:r w:rsidRPr="00482FA9">
        <w:rPr>
          <w:rFonts w:ascii="Arial" w:hAnsi="Arial" w:cs="Arial"/>
        </w:rPr>
        <w:t>Obsérvese como en 2011 el efecto oferta se explica por la participación laboral, la cual disminuye en su efecto diferencial al año 2012.</w:t>
      </w:r>
    </w:p>
    <w:p w:rsidR="001E6853" w:rsidRPr="000145B6" w:rsidRDefault="001E6853" w:rsidP="000145B6"/>
    <w:p w:rsidR="00B75C85" w:rsidRDefault="00B75C85" w:rsidP="00B75C85">
      <w:pPr>
        <w:jc w:val="center"/>
        <w:rPr>
          <w:rFonts w:ascii="Arial" w:eastAsiaTheme="minorHAnsi" w:hAnsi="Arial" w:cs="Arial"/>
          <w:sz w:val="20"/>
          <w:szCs w:val="16"/>
          <w:lang w:val="es-CO"/>
        </w:rPr>
      </w:pPr>
    </w:p>
    <w:p w:rsidR="00B75C85" w:rsidRPr="00F57C80" w:rsidRDefault="001E7CCA" w:rsidP="001E7CCA">
      <w:pPr>
        <w:pStyle w:val="Ttulo2"/>
        <w:spacing w:before="0" w:line="276" w:lineRule="auto"/>
        <w:rPr>
          <w:rFonts w:ascii="Arial" w:hAnsi="Arial" w:cs="Arial"/>
          <w:color w:val="C00000"/>
          <w:sz w:val="22"/>
          <w:szCs w:val="22"/>
        </w:rPr>
      </w:pPr>
      <w:bookmarkStart w:id="87" w:name="_Toc389666623"/>
      <w:r>
        <w:rPr>
          <w:rFonts w:ascii="Arial" w:hAnsi="Arial" w:cs="Arial"/>
          <w:color w:val="C00000"/>
          <w:sz w:val="22"/>
          <w:szCs w:val="22"/>
        </w:rPr>
        <w:t xml:space="preserve">3.2 </w:t>
      </w:r>
      <w:r w:rsidR="00B75C85" w:rsidRPr="00F57C80">
        <w:rPr>
          <w:rFonts w:ascii="Arial" w:hAnsi="Arial" w:cs="Arial"/>
          <w:color w:val="C00000"/>
          <w:sz w:val="22"/>
          <w:szCs w:val="22"/>
        </w:rPr>
        <w:t>Calidad del empleo y el trabajo</w:t>
      </w:r>
      <w:bookmarkEnd w:id="87"/>
    </w:p>
    <w:p w:rsidR="00B75C85" w:rsidRDefault="00B75C85" w:rsidP="00B75C85"/>
    <w:p w:rsidR="00B75C85" w:rsidRDefault="00B75C85" w:rsidP="00B75C85">
      <w:pPr>
        <w:autoSpaceDE w:val="0"/>
        <w:autoSpaceDN w:val="0"/>
        <w:adjustRightInd w:val="0"/>
        <w:spacing w:line="276" w:lineRule="auto"/>
        <w:jc w:val="both"/>
        <w:rPr>
          <w:rFonts w:ascii="Arial" w:eastAsiaTheme="minorHAnsi" w:hAnsi="Arial" w:cs="Arial"/>
          <w:lang w:val="es-CO"/>
        </w:rPr>
      </w:pPr>
      <w:r w:rsidRPr="008676F6">
        <w:rPr>
          <w:rFonts w:ascii="Arial" w:eastAsiaTheme="minorHAnsi" w:hAnsi="Arial" w:cs="Arial"/>
          <w:lang w:val="es-CO"/>
        </w:rPr>
        <w:t>El buen comportamiento de la tasa de desempleo observada durante la última década en el departamento de Bolívar no es consecuente con la calidad del empleo generado para la población.</w:t>
      </w:r>
      <w:r>
        <w:rPr>
          <w:rFonts w:ascii="Arial" w:eastAsiaTheme="minorHAnsi" w:hAnsi="Arial" w:cs="Arial"/>
          <w:lang w:val="es-CO"/>
        </w:rPr>
        <w:t xml:space="preserve"> </w:t>
      </w:r>
      <w:r w:rsidRPr="008676F6">
        <w:rPr>
          <w:rFonts w:ascii="Arial" w:eastAsiaTheme="minorHAnsi" w:hAnsi="Arial" w:cs="Arial"/>
          <w:lang w:val="es-CO"/>
        </w:rPr>
        <w:t>Los bajos niveles de ingresos de la mayor parte de población ocupada, el aumento del subempleo y la informalidad presentada en el departamento son indicadores claros de la</w:t>
      </w:r>
      <w:r w:rsidR="003F2820">
        <w:rPr>
          <w:rFonts w:ascii="Arial" w:eastAsiaTheme="minorHAnsi" w:hAnsi="Arial" w:cs="Arial"/>
          <w:lang w:val="es-CO"/>
        </w:rPr>
        <w:t>s precariedades laborales.</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0E62F2" w:rsidRDefault="00B75C85" w:rsidP="000E62F2">
      <w:pPr>
        <w:rPr>
          <w:rFonts w:ascii="Arial" w:hAnsi="Arial" w:cs="Arial"/>
        </w:rPr>
      </w:pPr>
      <w:r w:rsidRPr="000E62F2">
        <w:rPr>
          <w:rFonts w:ascii="Arial" w:hAnsi="Arial" w:cs="Arial"/>
          <w:b/>
        </w:rPr>
        <w:t>Nivel de ingresos</w:t>
      </w:r>
    </w:p>
    <w:p w:rsidR="00B75C85" w:rsidRDefault="00B75C85" w:rsidP="00B75C85"/>
    <w:p w:rsidR="00B75C85" w:rsidRDefault="00B75C85" w:rsidP="00B75C85">
      <w:pPr>
        <w:autoSpaceDE w:val="0"/>
        <w:autoSpaceDN w:val="0"/>
        <w:adjustRightInd w:val="0"/>
        <w:spacing w:line="276" w:lineRule="auto"/>
        <w:jc w:val="both"/>
        <w:rPr>
          <w:rFonts w:ascii="Arial" w:eastAsiaTheme="minorHAnsi" w:hAnsi="Arial" w:cs="Arial"/>
          <w:lang w:val="es-CO"/>
        </w:rPr>
      </w:pPr>
      <w:r w:rsidRPr="005E16CB">
        <w:rPr>
          <w:rFonts w:ascii="Arial" w:eastAsiaTheme="minorHAnsi" w:hAnsi="Arial" w:cs="Arial"/>
          <w:lang w:val="es-CO"/>
        </w:rPr>
        <w:t xml:space="preserve">El 49% de la población ocupada en el </w:t>
      </w:r>
      <w:r w:rsidRPr="0065647E">
        <w:rPr>
          <w:rFonts w:ascii="Arial" w:eastAsiaTheme="minorHAnsi" w:hAnsi="Arial" w:cs="Arial"/>
          <w:lang w:val="es-CO"/>
        </w:rPr>
        <w:t>departamento recibió durante el año 2012 ingresos mensuales inferiores a un salario mínimo (Tabla</w:t>
      </w:r>
      <w:r w:rsidR="001E7CCA" w:rsidRPr="000E62F2">
        <w:rPr>
          <w:rFonts w:ascii="Arial" w:eastAsiaTheme="minorHAnsi" w:hAnsi="Arial" w:cs="Arial"/>
          <w:lang w:val="es-CO"/>
        </w:rPr>
        <w:t xml:space="preserve"> 4</w:t>
      </w:r>
      <w:r w:rsidRPr="001E7CCA">
        <w:rPr>
          <w:rFonts w:ascii="Arial" w:eastAsiaTheme="minorHAnsi" w:hAnsi="Arial" w:cs="Arial"/>
          <w:lang w:val="es-CO"/>
        </w:rPr>
        <w:t>).</w:t>
      </w:r>
      <w:r w:rsidRPr="005E16CB">
        <w:rPr>
          <w:rFonts w:ascii="Arial" w:eastAsiaTheme="minorHAnsi" w:hAnsi="Arial" w:cs="Arial"/>
          <w:lang w:val="es-CO"/>
        </w:rPr>
        <w:t xml:space="preserve"> Esta situación muestra la precariedad de los ingresos en las familias bolivarenses y su alta probabilidad de continuar en los más bajos niveles de pobreza.</w:t>
      </w:r>
      <w:r>
        <w:rPr>
          <w:rFonts w:ascii="Arial" w:eastAsiaTheme="minorHAnsi" w:hAnsi="Arial" w:cs="Arial"/>
          <w:lang w:val="es-CO"/>
        </w:rPr>
        <w:t xml:space="preserve"> </w:t>
      </w:r>
      <w:r w:rsidRPr="005E16CB">
        <w:rPr>
          <w:rFonts w:ascii="Arial" w:eastAsiaTheme="minorHAnsi" w:hAnsi="Arial" w:cs="Arial"/>
          <w:lang w:val="es-CO"/>
        </w:rPr>
        <w:t>Sólo el 22,7% de los ocupados alcanzó a devengar hasta dos salarios mínimos y el 7,7%, más de dos salarios mínimos mensuales.</w:t>
      </w:r>
    </w:p>
    <w:p w:rsidR="0065647E" w:rsidRDefault="0065647E"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b/>
          <w:lang w:val="es-CO"/>
        </w:rPr>
      </w:pPr>
    </w:p>
    <w:p w:rsidR="001E7CCA" w:rsidRPr="00F57C80" w:rsidRDefault="001E7CCA" w:rsidP="00B75C85">
      <w:pPr>
        <w:autoSpaceDE w:val="0"/>
        <w:autoSpaceDN w:val="0"/>
        <w:adjustRightInd w:val="0"/>
        <w:spacing w:line="276" w:lineRule="auto"/>
        <w:jc w:val="both"/>
        <w:rPr>
          <w:rFonts w:ascii="Arial" w:eastAsiaTheme="minorHAnsi" w:hAnsi="Arial" w:cs="Arial"/>
          <w:b/>
          <w:lang w:val="es-CO"/>
        </w:rPr>
      </w:pPr>
    </w:p>
    <w:p w:rsidR="00B75C85" w:rsidRPr="00F57C80" w:rsidRDefault="00B75C85" w:rsidP="00B75C85">
      <w:pPr>
        <w:pStyle w:val="Epgrafe"/>
        <w:jc w:val="center"/>
        <w:rPr>
          <w:rFonts w:ascii="Arial" w:eastAsiaTheme="minorHAnsi" w:hAnsi="Arial" w:cs="Arial"/>
          <w:bCs w:val="0"/>
          <w:noProof/>
          <w:color w:val="auto"/>
          <w:sz w:val="22"/>
          <w:szCs w:val="22"/>
          <w:lang w:val="es-CO"/>
        </w:rPr>
      </w:pPr>
      <w:bookmarkStart w:id="88" w:name="_Toc389667017"/>
      <w:r w:rsidRPr="00F57C80">
        <w:rPr>
          <w:rFonts w:ascii="Arial" w:eastAsiaTheme="minorHAnsi" w:hAnsi="Arial" w:cs="Arial"/>
          <w:bCs w:val="0"/>
          <w:noProof/>
          <w:color w:val="auto"/>
          <w:sz w:val="22"/>
          <w:szCs w:val="22"/>
          <w:lang w:val="es-CO"/>
        </w:rPr>
        <w:t>T</w:t>
      </w:r>
      <w:r w:rsidRPr="000E62F2">
        <w:rPr>
          <w:rFonts w:ascii="Arial" w:eastAsiaTheme="minorHAnsi" w:hAnsi="Arial" w:cs="Arial"/>
          <w:bCs w:val="0"/>
          <w:noProof/>
          <w:color w:val="auto"/>
          <w:sz w:val="22"/>
          <w:szCs w:val="22"/>
          <w:lang w:val="es-CO"/>
        </w:rPr>
        <w:t>abla</w:t>
      </w:r>
      <w:r w:rsidRPr="00F57C80">
        <w:rPr>
          <w:rFonts w:ascii="Arial" w:eastAsiaTheme="minorHAnsi" w:hAnsi="Arial" w:cs="Arial"/>
          <w:bCs w:val="0"/>
          <w:noProof/>
          <w:color w:val="auto"/>
          <w:sz w:val="22"/>
          <w:szCs w:val="22"/>
          <w:lang w:val="es-CO"/>
        </w:rPr>
        <w:t xml:space="preserve"> </w:t>
      </w:r>
      <w:r w:rsidRPr="00F57C80">
        <w:rPr>
          <w:rFonts w:ascii="Arial" w:eastAsiaTheme="minorHAnsi" w:hAnsi="Arial" w:cs="Arial"/>
          <w:bCs w:val="0"/>
          <w:noProof/>
          <w:color w:val="auto"/>
          <w:sz w:val="22"/>
          <w:szCs w:val="22"/>
          <w:lang w:val="es-CO"/>
        </w:rPr>
        <w:fldChar w:fldCharType="begin"/>
      </w:r>
      <w:r w:rsidRPr="00F57C80">
        <w:rPr>
          <w:rFonts w:ascii="Arial" w:eastAsiaTheme="minorHAnsi" w:hAnsi="Arial" w:cs="Arial"/>
          <w:bCs w:val="0"/>
          <w:noProof/>
          <w:color w:val="auto"/>
          <w:sz w:val="22"/>
          <w:szCs w:val="22"/>
          <w:lang w:val="es-CO"/>
        </w:rPr>
        <w:instrText xml:space="preserve"> SEQ Tabla \* ARABIC </w:instrText>
      </w:r>
      <w:r w:rsidRPr="00F57C80">
        <w:rPr>
          <w:rFonts w:ascii="Arial" w:eastAsiaTheme="minorHAnsi" w:hAnsi="Arial" w:cs="Arial"/>
          <w:bCs w:val="0"/>
          <w:noProof/>
          <w:color w:val="auto"/>
          <w:sz w:val="22"/>
          <w:szCs w:val="22"/>
          <w:lang w:val="es-CO"/>
        </w:rPr>
        <w:fldChar w:fldCharType="separate"/>
      </w:r>
      <w:r w:rsidR="00D9744C">
        <w:rPr>
          <w:rFonts w:ascii="Arial" w:eastAsiaTheme="minorHAnsi" w:hAnsi="Arial" w:cs="Arial"/>
          <w:bCs w:val="0"/>
          <w:noProof/>
          <w:color w:val="auto"/>
          <w:sz w:val="22"/>
          <w:szCs w:val="22"/>
          <w:lang w:val="es-CO"/>
        </w:rPr>
        <w:t>4</w:t>
      </w:r>
      <w:r w:rsidRPr="00F57C80">
        <w:rPr>
          <w:rFonts w:ascii="Arial" w:eastAsiaTheme="minorHAnsi" w:hAnsi="Arial" w:cs="Arial"/>
          <w:bCs w:val="0"/>
          <w:noProof/>
          <w:color w:val="auto"/>
          <w:sz w:val="22"/>
          <w:szCs w:val="22"/>
          <w:lang w:val="es-CO"/>
        </w:rPr>
        <w:fldChar w:fldCharType="end"/>
      </w:r>
      <w:r w:rsidR="00F57C80" w:rsidRPr="00F57C80">
        <w:rPr>
          <w:rFonts w:ascii="Arial" w:eastAsiaTheme="minorHAnsi" w:hAnsi="Arial" w:cs="Arial"/>
          <w:bCs w:val="0"/>
          <w:noProof/>
          <w:color w:val="auto"/>
          <w:sz w:val="22"/>
          <w:szCs w:val="22"/>
          <w:lang w:val="es-CO"/>
        </w:rPr>
        <w:t xml:space="preserve">. </w:t>
      </w:r>
      <w:r w:rsidRPr="00F57C80">
        <w:rPr>
          <w:rFonts w:ascii="Arial" w:eastAsiaTheme="minorHAnsi" w:hAnsi="Arial" w:cs="Arial"/>
          <w:bCs w:val="0"/>
          <w:noProof/>
          <w:color w:val="auto"/>
          <w:sz w:val="22"/>
          <w:szCs w:val="22"/>
          <w:lang w:val="es-CO"/>
        </w:rPr>
        <w:t>Ocupados por rango de ingresos</w:t>
      </w:r>
      <w:r w:rsidR="00A61DBF">
        <w:rPr>
          <w:rFonts w:ascii="Arial" w:eastAsiaTheme="minorHAnsi" w:hAnsi="Arial" w:cs="Arial"/>
          <w:bCs w:val="0"/>
          <w:noProof/>
          <w:color w:val="auto"/>
          <w:sz w:val="22"/>
          <w:szCs w:val="22"/>
          <w:lang w:val="es-CO"/>
        </w:rPr>
        <w:t xml:space="preserve"> en smlv</w:t>
      </w:r>
      <w:r w:rsidRPr="00F57C80">
        <w:rPr>
          <w:rFonts w:ascii="Arial" w:eastAsiaTheme="minorHAnsi" w:hAnsi="Arial" w:cs="Arial"/>
          <w:bCs w:val="0"/>
          <w:noProof/>
          <w:color w:val="auto"/>
          <w:sz w:val="22"/>
          <w:szCs w:val="22"/>
          <w:lang w:val="es-CO"/>
        </w:rPr>
        <w:t>. Bolívar (2012)</w:t>
      </w:r>
      <w:bookmarkEnd w:id="88"/>
    </w:p>
    <w:tbl>
      <w:tblPr>
        <w:tblW w:w="538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80"/>
        <w:gridCol w:w="1200"/>
        <w:gridCol w:w="1522"/>
      </w:tblGrid>
      <w:tr w:rsidR="00B75C85" w:rsidRPr="005E16CB" w:rsidTr="00212C5E">
        <w:trPr>
          <w:trHeight w:val="570"/>
          <w:jc w:val="center"/>
        </w:trPr>
        <w:tc>
          <w:tcPr>
            <w:tcW w:w="278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Descripción</w:t>
            </w:r>
          </w:p>
        </w:tc>
        <w:tc>
          <w:tcPr>
            <w:tcW w:w="120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Número</w:t>
            </w:r>
          </w:p>
        </w:tc>
        <w:tc>
          <w:tcPr>
            <w:tcW w:w="140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Participación porcentual</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No informa</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177.955</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20,8</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Menor 0,5</w:t>
            </w:r>
            <w:r w:rsidR="00A61DBF">
              <w:rPr>
                <w:rFonts w:ascii="Arial" w:eastAsia="Times New Roman" w:hAnsi="Arial" w:cs="Arial"/>
                <w:color w:val="000000"/>
                <w:lang w:val="es-CO" w:eastAsia="es-CO"/>
              </w:rPr>
              <w:t xml:space="preserve"> </w:t>
            </w:r>
            <w:proofErr w:type="spellStart"/>
            <w:r w:rsidR="00A61DBF">
              <w:rPr>
                <w:rFonts w:ascii="Arial" w:eastAsia="Times New Roman" w:hAnsi="Arial" w:cs="Arial"/>
                <w:color w:val="000000"/>
                <w:lang w:val="es-CO" w:eastAsia="es-CO"/>
              </w:rPr>
              <w:t>smlv</w:t>
            </w:r>
            <w:proofErr w:type="spellEnd"/>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194.182</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22,6</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0,5 a 1</w:t>
            </w:r>
            <w:r w:rsidR="00A61DBF">
              <w:rPr>
                <w:rFonts w:ascii="Arial" w:eastAsia="Times New Roman" w:hAnsi="Arial" w:cs="Arial"/>
                <w:color w:val="000000"/>
                <w:lang w:val="es-CO" w:eastAsia="es-CO"/>
              </w:rPr>
              <w:t xml:space="preserve"> </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224.916</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26,2</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1 a 1,5</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161.387</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18,8</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1,5 a 2</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33.246</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3,9</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2 a 4</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48.260</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5,6</w:t>
            </w:r>
          </w:p>
        </w:tc>
      </w:tr>
      <w:tr w:rsidR="00B75C85" w:rsidRPr="005E16CB" w:rsidTr="00212C5E">
        <w:trPr>
          <w:trHeight w:val="300"/>
          <w:jc w:val="center"/>
        </w:trPr>
        <w:tc>
          <w:tcPr>
            <w:tcW w:w="2780" w:type="dxa"/>
            <w:shd w:val="clear" w:color="auto" w:fill="auto"/>
            <w:noWrap/>
            <w:vAlign w:val="bottom"/>
            <w:hideMark/>
          </w:tcPr>
          <w:p w:rsidR="00B75C85" w:rsidRPr="005E16CB" w:rsidRDefault="00B75C85" w:rsidP="00212C5E">
            <w:pPr>
              <w:rPr>
                <w:rFonts w:ascii="Arial" w:eastAsia="Times New Roman" w:hAnsi="Arial" w:cs="Arial"/>
                <w:color w:val="000000"/>
                <w:lang w:val="es-CO" w:eastAsia="es-CO"/>
              </w:rPr>
            </w:pPr>
            <w:r w:rsidRPr="005E16CB">
              <w:rPr>
                <w:rFonts w:ascii="Arial" w:eastAsia="Times New Roman" w:hAnsi="Arial" w:cs="Arial"/>
                <w:color w:val="000000"/>
                <w:lang w:val="es-CO" w:eastAsia="es-CO"/>
              </w:rPr>
              <w:t>Más de 4</w:t>
            </w:r>
          </w:p>
        </w:tc>
        <w:tc>
          <w:tcPr>
            <w:tcW w:w="12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17.591</w:t>
            </w:r>
          </w:p>
        </w:tc>
        <w:tc>
          <w:tcPr>
            <w:tcW w:w="1400" w:type="dxa"/>
            <w:shd w:val="clear" w:color="auto" w:fill="auto"/>
            <w:noWrap/>
            <w:vAlign w:val="bottom"/>
            <w:hideMark/>
          </w:tcPr>
          <w:p w:rsidR="00B75C85" w:rsidRPr="005E16CB" w:rsidRDefault="00B75C85" w:rsidP="00212C5E">
            <w:pPr>
              <w:jc w:val="right"/>
              <w:rPr>
                <w:rFonts w:ascii="Arial" w:eastAsia="Times New Roman" w:hAnsi="Arial" w:cs="Arial"/>
                <w:color w:val="000000"/>
                <w:lang w:val="es-CO" w:eastAsia="es-CO"/>
              </w:rPr>
            </w:pPr>
            <w:r w:rsidRPr="005E16CB">
              <w:rPr>
                <w:rFonts w:ascii="Arial" w:eastAsia="Times New Roman" w:hAnsi="Arial" w:cs="Arial"/>
                <w:color w:val="000000"/>
                <w:lang w:val="es-CO" w:eastAsia="es-CO"/>
              </w:rPr>
              <w:t>2,1</w:t>
            </w:r>
          </w:p>
        </w:tc>
      </w:tr>
    </w:tbl>
    <w:p w:rsidR="00B75C85" w:rsidRPr="00F57C80" w:rsidRDefault="00B75C85" w:rsidP="00B75C85">
      <w:pPr>
        <w:pStyle w:val="Epgrafe"/>
        <w:jc w:val="center"/>
        <w:rPr>
          <w:rFonts w:ascii="Arial" w:eastAsiaTheme="minorHAnsi" w:hAnsi="Arial" w:cs="Arial"/>
          <w:b w:val="0"/>
          <w:bCs w:val="0"/>
          <w:noProof/>
          <w:color w:val="auto"/>
          <w:lang w:val="es-CO"/>
        </w:rPr>
      </w:pPr>
      <w:r w:rsidRPr="00F57C80">
        <w:rPr>
          <w:rFonts w:ascii="Arial" w:eastAsiaTheme="minorHAnsi" w:hAnsi="Arial" w:cs="Arial"/>
          <w:b w:val="0"/>
          <w:bCs w:val="0"/>
          <w:noProof/>
          <w:color w:val="auto"/>
          <w:lang w:val="es-CO"/>
        </w:rPr>
        <w:t>Fuente: DANE. Cálculos FUPAD – Ministerio del Trabajo</w:t>
      </w:r>
    </w:p>
    <w:p w:rsidR="00B75C85" w:rsidRDefault="00B75C85" w:rsidP="00B75C85">
      <w:pPr>
        <w:rPr>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5E16CB">
        <w:rPr>
          <w:rFonts w:ascii="Arial" w:eastAsiaTheme="minorHAnsi" w:hAnsi="Arial" w:cs="Arial"/>
          <w:lang w:val="es-CO"/>
        </w:rPr>
        <w:t>Los bajos ingresos de los ocupados están relacionados, entre otros factores, por el nivel educativo de la población. En el departamento de Bolívar el 57,3% de la población ocupada no ha culminado la educación secundaria, por lo que sus labores se concentran en actividades de baja productividad y precariedad salarial</w:t>
      </w:r>
      <w:r w:rsidR="00E1318F">
        <w:rPr>
          <w:rFonts w:ascii="Arial" w:eastAsiaTheme="minorHAnsi" w:hAnsi="Arial" w:cs="Arial"/>
          <w:lang w:val="es-CO"/>
        </w:rPr>
        <w:t>, tal y como se apreció con anterioridad cuando se mostró el peso relativo de los cuenta propia en el total del empleo</w:t>
      </w:r>
      <w:r w:rsidRPr="005E16CB">
        <w:rPr>
          <w:rFonts w:ascii="Arial" w:eastAsiaTheme="minorHAnsi" w:hAnsi="Arial" w:cs="Arial"/>
          <w:lang w:val="es-CO"/>
        </w:rPr>
        <w:t>.</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pStyle w:val="Epgrafe"/>
        <w:spacing w:line="276" w:lineRule="auto"/>
        <w:jc w:val="center"/>
        <w:rPr>
          <w:rFonts w:ascii="Arial" w:eastAsiaTheme="minorHAnsi" w:hAnsi="Arial" w:cs="Arial"/>
          <w:bCs w:val="0"/>
          <w:noProof/>
          <w:color w:val="auto"/>
          <w:sz w:val="22"/>
          <w:szCs w:val="22"/>
          <w:lang w:val="es-CO"/>
        </w:rPr>
      </w:pPr>
      <w:bookmarkStart w:id="89" w:name="_Toc389667018"/>
      <w:r w:rsidRPr="00F57C80">
        <w:rPr>
          <w:rFonts w:ascii="Arial" w:eastAsiaTheme="minorHAnsi" w:hAnsi="Arial" w:cs="Arial"/>
          <w:bCs w:val="0"/>
          <w:noProof/>
          <w:color w:val="auto"/>
          <w:sz w:val="22"/>
          <w:szCs w:val="22"/>
          <w:lang w:val="es-CO"/>
        </w:rPr>
        <w:t xml:space="preserve">Tabla </w:t>
      </w:r>
      <w:r w:rsidRPr="00F57C80">
        <w:rPr>
          <w:rFonts w:ascii="Arial" w:eastAsiaTheme="minorHAnsi" w:hAnsi="Arial" w:cs="Arial"/>
          <w:bCs w:val="0"/>
          <w:noProof/>
          <w:color w:val="auto"/>
          <w:sz w:val="22"/>
          <w:szCs w:val="22"/>
          <w:lang w:val="es-CO"/>
        </w:rPr>
        <w:fldChar w:fldCharType="begin"/>
      </w:r>
      <w:r w:rsidRPr="00F57C80">
        <w:rPr>
          <w:rFonts w:ascii="Arial" w:eastAsiaTheme="minorHAnsi" w:hAnsi="Arial" w:cs="Arial"/>
          <w:bCs w:val="0"/>
          <w:noProof/>
          <w:color w:val="auto"/>
          <w:sz w:val="22"/>
          <w:szCs w:val="22"/>
          <w:lang w:val="es-CO"/>
        </w:rPr>
        <w:instrText xml:space="preserve"> SEQ Tabla \* ARABIC </w:instrText>
      </w:r>
      <w:r w:rsidRPr="00F57C80">
        <w:rPr>
          <w:rFonts w:ascii="Arial" w:eastAsiaTheme="minorHAnsi" w:hAnsi="Arial" w:cs="Arial"/>
          <w:bCs w:val="0"/>
          <w:noProof/>
          <w:color w:val="auto"/>
          <w:sz w:val="22"/>
          <w:szCs w:val="22"/>
          <w:lang w:val="es-CO"/>
        </w:rPr>
        <w:fldChar w:fldCharType="separate"/>
      </w:r>
      <w:r w:rsidR="00D9744C">
        <w:rPr>
          <w:rFonts w:ascii="Arial" w:eastAsiaTheme="minorHAnsi" w:hAnsi="Arial" w:cs="Arial"/>
          <w:bCs w:val="0"/>
          <w:noProof/>
          <w:color w:val="auto"/>
          <w:sz w:val="22"/>
          <w:szCs w:val="22"/>
          <w:lang w:val="es-CO"/>
        </w:rPr>
        <w:t>5</w:t>
      </w:r>
      <w:r w:rsidRPr="00F57C80">
        <w:rPr>
          <w:rFonts w:ascii="Arial" w:eastAsiaTheme="minorHAnsi" w:hAnsi="Arial" w:cs="Arial"/>
          <w:bCs w:val="0"/>
          <w:noProof/>
          <w:color w:val="auto"/>
          <w:sz w:val="22"/>
          <w:szCs w:val="22"/>
          <w:lang w:val="es-CO"/>
        </w:rPr>
        <w:fldChar w:fldCharType="end"/>
      </w:r>
      <w:r w:rsidR="00F57C80" w:rsidRPr="00F57C80">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Ocupados por nivel educativo. Bolívar (2012)</w:t>
      </w:r>
      <w:bookmarkEnd w:id="89"/>
    </w:p>
    <w:tbl>
      <w:tblPr>
        <w:tblW w:w="538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80"/>
        <w:gridCol w:w="1200"/>
        <w:gridCol w:w="1522"/>
      </w:tblGrid>
      <w:tr w:rsidR="00B75C85" w:rsidRPr="00C86D1C" w:rsidTr="00212C5E">
        <w:trPr>
          <w:trHeight w:val="570"/>
          <w:jc w:val="center"/>
        </w:trPr>
        <w:tc>
          <w:tcPr>
            <w:tcW w:w="278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Clase</w:t>
            </w:r>
          </w:p>
        </w:tc>
        <w:tc>
          <w:tcPr>
            <w:tcW w:w="120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Número</w:t>
            </w:r>
          </w:p>
        </w:tc>
        <w:tc>
          <w:tcPr>
            <w:tcW w:w="1400" w:type="dxa"/>
            <w:shd w:val="clear" w:color="auto" w:fill="auto"/>
            <w:vAlign w:val="center"/>
            <w:hideMark/>
          </w:tcPr>
          <w:p w:rsidR="00B75C85" w:rsidRPr="00436018" w:rsidRDefault="00B75C85" w:rsidP="00212C5E">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Participación porcentual</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Ninguno</w:t>
            </w:r>
          </w:p>
        </w:tc>
        <w:tc>
          <w:tcPr>
            <w:tcW w:w="120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 xml:space="preserve">      70.021 </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8,2</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Primaria incompleta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120.849</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14,1</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Primaria 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126.086</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14,7</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Secundaria incompleta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174.612</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20,4</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Secundaria 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191.948</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22,4</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Superior incompleta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103.233</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12</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Superior completa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70.626</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8,2</w:t>
            </w:r>
          </w:p>
        </w:tc>
      </w:tr>
      <w:tr w:rsidR="00B75C85" w:rsidRPr="00C86D1C" w:rsidTr="00212C5E">
        <w:trPr>
          <w:trHeight w:val="300"/>
          <w:jc w:val="center"/>
        </w:trPr>
        <w:tc>
          <w:tcPr>
            <w:tcW w:w="2780" w:type="dxa"/>
            <w:shd w:val="clear" w:color="auto" w:fill="auto"/>
            <w:noWrap/>
            <w:vAlign w:val="bottom"/>
            <w:hideMark/>
          </w:tcPr>
          <w:p w:rsidR="00B75C85" w:rsidRPr="00C86D1C" w:rsidRDefault="00B75C85" w:rsidP="00212C5E">
            <w:pPr>
              <w:rPr>
                <w:rFonts w:ascii="Arial" w:eastAsia="Times New Roman" w:hAnsi="Arial" w:cs="Arial"/>
                <w:color w:val="000000"/>
                <w:lang w:val="es-CO" w:eastAsia="es-CO"/>
              </w:rPr>
            </w:pPr>
            <w:r w:rsidRPr="00C86D1C">
              <w:rPr>
                <w:rFonts w:ascii="Arial" w:eastAsia="Times New Roman" w:hAnsi="Arial" w:cs="Arial"/>
                <w:color w:val="000000"/>
                <w:lang w:val="es-CO" w:eastAsia="es-CO"/>
              </w:rPr>
              <w:t>No informa</w:t>
            </w:r>
          </w:p>
        </w:tc>
        <w:tc>
          <w:tcPr>
            <w:tcW w:w="12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162</w:t>
            </w:r>
          </w:p>
        </w:tc>
        <w:tc>
          <w:tcPr>
            <w:tcW w:w="1400" w:type="dxa"/>
            <w:shd w:val="clear" w:color="auto" w:fill="auto"/>
            <w:noWrap/>
            <w:vAlign w:val="bottom"/>
            <w:hideMark/>
          </w:tcPr>
          <w:p w:rsidR="00B75C85" w:rsidRPr="00C86D1C" w:rsidRDefault="00B75C85" w:rsidP="00212C5E">
            <w:pPr>
              <w:jc w:val="right"/>
              <w:rPr>
                <w:rFonts w:ascii="Arial" w:eastAsia="Times New Roman" w:hAnsi="Arial" w:cs="Arial"/>
                <w:color w:val="000000"/>
                <w:lang w:val="es-CO" w:eastAsia="es-CO"/>
              </w:rPr>
            </w:pPr>
            <w:r w:rsidRPr="00C86D1C">
              <w:rPr>
                <w:rFonts w:ascii="Arial" w:eastAsia="Times New Roman" w:hAnsi="Arial" w:cs="Arial"/>
                <w:color w:val="000000"/>
                <w:lang w:val="es-CO" w:eastAsia="es-CO"/>
              </w:rPr>
              <w:t>0</w:t>
            </w:r>
          </w:p>
        </w:tc>
      </w:tr>
    </w:tbl>
    <w:p w:rsidR="00B75C85" w:rsidRDefault="00B75C85" w:rsidP="00B75C85">
      <w:pPr>
        <w:autoSpaceDE w:val="0"/>
        <w:autoSpaceDN w:val="0"/>
        <w:adjustRightInd w:val="0"/>
        <w:spacing w:line="276" w:lineRule="auto"/>
        <w:jc w:val="center"/>
        <w:rPr>
          <w:rFonts w:ascii="Arial" w:eastAsiaTheme="minorHAnsi" w:hAnsi="Arial" w:cs="Arial"/>
          <w:sz w:val="18"/>
          <w:szCs w:val="16"/>
          <w:lang w:val="es-CO"/>
        </w:rPr>
      </w:pPr>
      <w:r w:rsidRPr="00C86D1C">
        <w:rPr>
          <w:rFonts w:ascii="Arial" w:eastAsiaTheme="minorHAnsi" w:hAnsi="Arial" w:cs="Arial"/>
          <w:sz w:val="18"/>
          <w:szCs w:val="16"/>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 w:val="18"/>
          <w:szCs w:val="16"/>
          <w:lang w:val="es-CO"/>
        </w:rPr>
      </w:pPr>
    </w:p>
    <w:p w:rsidR="00B75C85" w:rsidRPr="000E62F2" w:rsidRDefault="00B75C85" w:rsidP="000E62F2">
      <w:pPr>
        <w:rPr>
          <w:rFonts w:ascii="Arial" w:hAnsi="Arial" w:cs="Arial"/>
        </w:rPr>
      </w:pPr>
      <w:r w:rsidRPr="000E62F2">
        <w:rPr>
          <w:rFonts w:ascii="Arial" w:hAnsi="Arial" w:cs="Arial"/>
          <w:b/>
        </w:rPr>
        <w:t>Subempleo</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C86D1C">
        <w:rPr>
          <w:rFonts w:ascii="Arial" w:eastAsiaTheme="minorHAnsi" w:hAnsi="Arial" w:cs="Arial"/>
          <w:lang w:val="es-CO"/>
        </w:rPr>
        <w:t>El subempleo en el departamento ha presentado comportamientos fluctuantes entre los años 2001 y 2012. Los niveles más altos de la tasa de subempleo presentados en el territorio se dieron entre los años 2006 y 2007, con tasas de 33,</w:t>
      </w:r>
      <w:r w:rsidR="00061D26">
        <w:rPr>
          <w:rFonts w:ascii="Arial" w:eastAsiaTheme="minorHAnsi" w:hAnsi="Arial" w:cs="Arial"/>
          <w:lang w:val="es-CO"/>
        </w:rPr>
        <w:t>1</w:t>
      </w:r>
      <w:r w:rsidRPr="00C86D1C">
        <w:rPr>
          <w:rFonts w:ascii="Arial" w:eastAsiaTheme="minorHAnsi" w:hAnsi="Arial" w:cs="Arial"/>
          <w:lang w:val="es-CO"/>
        </w:rPr>
        <w:t>% y 31,</w:t>
      </w:r>
      <w:r w:rsidR="00061D26">
        <w:rPr>
          <w:rFonts w:ascii="Arial" w:eastAsiaTheme="minorHAnsi" w:hAnsi="Arial" w:cs="Arial"/>
          <w:lang w:val="es-CO"/>
        </w:rPr>
        <w:t>4</w:t>
      </w:r>
      <w:r w:rsidR="003062F0">
        <w:rPr>
          <w:rFonts w:ascii="Arial" w:eastAsiaTheme="minorHAnsi" w:hAnsi="Arial" w:cs="Arial"/>
          <w:lang w:val="es-CO"/>
        </w:rPr>
        <w:t>%, respectivamente (</w:t>
      </w:r>
      <w:r w:rsidR="003062F0" w:rsidRPr="000E62F2">
        <w:rPr>
          <w:rFonts w:ascii="Arial" w:eastAsiaTheme="minorHAnsi" w:hAnsi="Arial" w:cs="Arial"/>
          <w:lang w:val="es-CO"/>
        </w:rPr>
        <w:t>Gráfico 22</w:t>
      </w:r>
      <w:r w:rsidRPr="0065647E">
        <w:rPr>
          <w:rFonts w:ascii="Arial" w:eastAsiaTheme="minorHAnsi" w:hAnsi="Arial" w:cs="Arial"/>
          <w:lang w:val="es-CO"/>
        </w:rPr>
        <w:t>).</w:t>
      </w:r>
      <w:r w:rsidRPr="00C86D1C">
        <w:rPr>
          <w:rFonts w:ascii="Arial" w:eastAsiaTheme="minorHAnsi" w:hAnsi="Arial" w:cs="Arial"/>
          <w:lang w:val="es-CO"/>
        </w:rPr>
        <w:t xml:space="preserve"> La mayor parte de las personas vinculadas laboralmente manifestaron su insatisfacción por el empleo que tienen, porque consideran que los ingresos son demasiado bajos para la actividad que desempeñan.</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65647E" w:rsidRDefault="0065647E" w:rsidP="00B75C85">
      <w:pPr>
        <w:autoSpaceDE w:val="0"/>
        <w:autoSpaceDN w:val="0"/>
        <w:adjustRightInd w:val="0"/>
        <w:spacing w:line="276" w:lineRule="auto"/>
        <w:jc w:val="both"/>
        <w:rPr>
          <w:rFonts w:ascii="Arial" w:eastAsiaTheme="minorHAnsi" w:hAnsi="Arial" w:cs="Arial"/>
          <w:lang w:val="es-CO"/>
        </w:rPr>
      </w:pPr>
    </w:p>
    <w:p w:rsidR="0065647E" w:rsidRDefault="0065647E"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autoSpaceDE w:val="0"/>
        <w:autoSpaceDN w:val="0"/>
        <w:adjustRightInd w:val="0"/>
        <w:spacing w:line="276" w:lineRule="auto"/>
        <w:jc w:val="both"/>
        <w:rPr>
          <w:rFonts w:ascii="Arial" w:eastAsiaTheme="minorHAnsi" w:hAnsi="Arial" w:cs="Arial"/>
          <w:b/>
          <w:lang w:val="es-CO"/>
        </w:rPr>
      </w:pPr>
    </w:p>
    <w:p w:rsidR="00B75C85" w:rsidRPr="00F57C80" w:rsidRDefault="00B75C85" w:rsidP="00B75C85">
      <w:pPr>
        <w:pStyle w:val="Epgrafe"/>
        <w:spacing w:line="276" w:lineRule="auto"/>
        <w:jc w:val="center"/>
        <w:rPr>
          <w:rFonts w:ascii="Arial" w:eastAsiaTheme="minorHAnsi" w:hAnsi="Arial" w:cs="Arial"/>
          <w:bCs w:val="0"/>
          <w:noProof/>
          <w:color w:val="auto"/>
          <w:sz w:val="22"/>
          <w:szCs w:val="22"/>
          <w:lang w:val="es-CO"/>
        </w:rPr>
      </w:pPr>
      <w:bookmarkStart w:id="90" w:name="_Toc389666978"/>
      <w:r w:rsidRPr="000E62F2">
        <w:rPr>
          <w:rFonts w:ascii="Arial" w:eastAsiaTheme="minorHAnsi" w:hAnsi="Arial" w:cs="Arial"/>
          <w:bCs w:val="0"/>
          <w:noProof/>
          <w:color w:val="auto"/>
          <w:sz w:val="22"/>
          <w:szCs w:val="22"/>
          <w:lang w:val="es-CO"/>
        </w:rPr>
        <w:t xml:space="preserve">Gráfico </w:t>
      </w:r>
      <w:r w:rsidRPr="000E62F2">
        <w:rPr>
          <w:rFonts w:ascii="Arial" w:eastAsiaTheme="minorHAnsi" w:hAnsi="Arial" w:cs="Arial"/>
          <w:bCs w:val="0"/>
          <w:noProof/>
          <w:color w:val="auto"/>
          <w:sz w:val="22"/>
          <w:szCs w:val="22"/>
          <w:lang w:val="es-CO"/>
        </w:rPr>
        <w:fldChar w:fldCharType="begin"/>
      </w:r>
      <w:r w:rsidRPr="000E62F2">
        <w:rPr>
          <w:rFonts w:ascii="Arial" w:eastAsiaTheme="minorHAnsi" w:hAnsi="Arial" w:cs="Arial"/>
          <w:bCs w:val="0"/>
          <w:noProof/>
          <w:color w:val="auto"/>
          <w:sz w:val="22"/>
          <w:szCs w:val="22"/>
          <w:lang w:val="es-CO"/>
        </w:rPr>
        <w:instrText xml:space="preserve"> SEQ Gráfico \* ARABIC </w:instrText>
      </w:r>
      <w:r w:rsidRPr="000E62F2">
        <w:rPr>
          <w:rFonts w:ascii="Arial" w:eastAsiaTheme="minorHAnsi" w:hAnsi="Arial" w:cs="Arial"/>
          <w:bCs w:val="0"/>
          <w:noProof/>
          <w:color w:val="auto"/>
          <w:sz w:val="22"/>
          <w:szCs w:val="22"/>
          <w:lang w:val="es-CO"/>
        </w:rPr>
        <w:fldChar w:fldCharType="separate"/>
      </w:r>
      <w:r w:rsidR="00D9744C" w:rsidRPr="000E62F2">
        <w:rPr>
          <w:rFonts w:ascii="Arial" w:eastAsiaTheme="minorHAnsi" w:hAnsi="Arial" w:cs="Arial"/>
          <w:bCs w:val="0"/>
          <w:noProof/>
          <w:color w:val="auto"/>
          <w:sz w:val="22"/>
          <w:szCs w:val="22"/>
          <w:lang w:val="es-CO"/>
        </w:rPr>
        <w:t>22</w:t>
      </w:r>
      <w:r w:rsidRPr="000E62F2">
        <w:rPr>
          <w:rFonts w:ascii="Arial" w:eastAsiaTheme="minorHAnsi" w:hAnsi="Arial" w:cs="Arial"/>
          <w:bCs w:val="0"/>
          <w:noProof/>
          <w:color w:val="auto"/>
          <w:sz w:val="22"/>
          <w:szCs w:val="22"/>
          <w:lang w:val="es-CO"/>
        </w:rPr>
        <w:fldChar w:fldCharType="end"/>
      </w:r>
      <w:r w:rsidR="00F57C80" w:rsidRPr="0065647E">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Tasa de subempleo subjetivo, Bolívar (2001 - 2012)</w:t>
      </w:r>
      <w:bookmarkEnd w:id="90"/>
    </w:p>
    <w:p w:rsidR="00B75C85" w:rsidRDefault="00B75C85" w:rsidP="00B75C85">
      <w:pPr>
        <w:autoSpaceDE w:val="0"/>
        <w:autoSpaceDN w:val="0"/>
        <w:adjustRightInd w:val="0"/>
        <w:spacing w:line="276" w:lineRule="auto"/>
        <w:jc w:val="center"/>
        <w:rPr>
          <w:rFonts w:ascii="Arial" w:hAnsi="Arial" w:cs="Arial"/>
          <w:sz w:val="24"/>
          <w:lang w:val="es-CO"/>
        </w:rPr>
      </w:pPr>
      <w:r>
        <w:rPr>
          <w:noProof/>
          <w:lang w:eastAsia="es-ES"/>
        </w:rPr>
        <w:drawing>
          <wp:inline distT="0" distB="0" distL="0" distR="0" wp14:anchorId="42E03DAD" wp14:editId="2FAAEBA4">
            <wp:extent cx="4990045" cy="3248025"/>
            <wp:effectExtent l="0" t="0" r="1270" b="0"/>
            <wp:docPr id="5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1499" t="3259" r="3427" b="2605"/>
                    <a:stretch/>
                  </pic:blipFill>
                  <pic:spPr bwMode="auto">
                    <a:xfrm>
                      <a:off x="0" y="0"/>
                      <a:ext cx="4990045" cy="3248025"/>
                    </a:xfrm>
                    <a:prstGeom prst="rect">
                      <a:avLst/>
                    </a:prstGeom>
                    <a:ln>
                      <a:noFill/>
                    </a:ln>
                    <a:extLst>
                      <a:ext uri="{53640926-AAD7-44D8-BBD7-CCE9431645EC}">
                        <a14:shadowObscured xmlns:a14="http://schemas.microsoft.com/office/drawing/2010/main"/>
                      </a:ext>
                    </a:extLst>
                  </pic:spPr>
                </pic:pic>
              </a:graphicData>
            </a:graphic>
          </wp:inline>
        </w:drawing>
      </w:r>
    </w:p>
    <w:p w:rsidR="00B75C85" w:rsidRPr="00F57C80"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 w:val="20"/>
          <w:szCs w:val="16"/>
          <w:lang w:val="es-CO"/>
        </w:rPr>
      </w:pPr>
    </w:p>
    <w:p w:rsidR="00B75C85" w:rsidRPr="000E62F2" w:rsidRDefault="00B75C85" w:rsidP="000E62F2">
      <w:pPr>
        <w:rPr>
          <w:rFonts w:ascii="Arial" w:hAnsi="Arial" w:cs="Arial"/>
        </w:rPr>
      </w:pPr>
      <w:r w:rsidRPr="000E62F2">
        <w:rPr>
          <w:rFonts w:ascii="Arial" w:hAnsi="Arial" w:cs="Arial"/>
          <w:b/>
        </w:rPr>
        <w:t>Informalidad</w:t>
      </w:r>
    </w:p>
    <w:p w:rsidR="00B75C85" w:rsidRDefault="00B75C85" w:rsidP="00B75C85"/>
    <w:p w:rsidR="00B75C85" w:rsidRPr="0053166E" w:rsidRDefault="00B75C85" w:rsidP="00B75C85">
      <w:pPr>
        <w:autoSpaceDE w:val="0"/>
        <w:autoSpaceDN w:val="0"/>
        <w:adjustRightInd w:val="0"/>
        <w:spacing w:line="276" w:lineRule="auto"/>
        <w:jc w:val="both"/>
        <w:rPr>
          <w:rFonts w:ascii="Arial" w:eastAsiaTheme="minorHAnsi" w:hAnsi="Arial" w:cs="Arial"/>
          <w:lang w:val="es-CO"/>
        </w:rPr>
      </w:pPr>
      <w:r w:rsidRPr="0053166E">
        <w:rPr>
          <w:rFonts w:ascii="Arial" w:eastAsiaTheme="minorHAnsi" w:hAnsi="Arial" w:cs="Arial"/>
          <w:lang w:val="es-CO"/>
        </w:rPr>
        <w:t>En el departamento de Bolívar la informalidad, definida por el Ministerio del Trabajo como el número de ocupados que no cotizan a un fondo de pensiones, alcanzó en el 2012 el 77,5%, cifra que supera al promedio nacional en 10 puntos porcentuales. Al comparar las cifras para la región Caribe con las nacionales para el mismo período, se observa un escenario similar: los informales representan el 79,3% de la población ocupada, mientras que en el país son el 67,4% (Gráfic</w:t>
      </w:r>
      <w:r w:rsidR="003062F0">
        <w:rPr>
          <w:rFonts w:ascii="Arial" w:eastAsiaTheme="minorHAnsi" w:hAnsi="Arial" w:cs="Arial"/>
          <w:lang w:val="es-CO"/>
        </w:rPr>
        <w:t>o 23</w:t>
      </w:r>
      <w:r w:rsidRPr="0053166E">
        <w:rPr>
          <w:rFonts w:ascii="Arial" w:eastAsiaTheme="minorHAnsi" w:hAnsi="Arial" w:cs="Arial"/>
          <w:lang w:val="es-CO"/>
        </w:rPr>
        <w:t>).</w:t>
      </w:r>
    </w:p>
    <w:p w:rsidR="00B75C85" w:rsidRPr="0053166E" w:rsidRDefault="00B75C85" w:rsidP="00B75C85">
      <w:pPr>
        <w:autoSpaceDE w:val="0"/>
        <w:autoSpaceDN w:val="0"/>
        <w:adjustRightInd w:val="0"/>
        <w:spacing w:line="276" w:lineRule="auto"/>
        <w:jc w:val="both"/>
        <w:rPr>
          <w:rFonts w:ascii="Arial" w:eastAsiaTheme="minorHAnsi" w:hAnsi="Arial" w:cs="Arial"/>
          <w:lang w:val="es-CO"/>
        </w:rPr>
      </w:pPr>
    </w:p>
    <w:p w:rsidR="00B75C85" w:rsidRPr="0053166E" w:rsidRDefault="00B75C85" w:rsidP="00B75C85">
      <w:pPr>
        <w:autoSpaceDE w:val="0"/>
        <w:autoSpaceDN w:val="0"/>
        <w:adjustRightInd w:val="0"/>
        <w:spacing w:line="276" w:lineRule="auto"/>
        <w:jc w:val="both"/>
        <w:rPr>
          <w:rFonts w:ascii="Arial" w:eastAsiaTheme="minorHAnsi" w:hAnsi="Arial" w:cs="Arial"/>
          <w:lang w:val="es-CO"/>
        </w:rPr>
      </w:pPr>
      <w:r w:rsidRPr="0053166E">
        <w:rPr>
          <w:rFonts w:ascii="Arial" w:eastAsiaTheme="minorHAnsi" w:hAnsi="Arial" w:cs="Arial"/>
          <w:lang w:val="es-CO"/>
        </w:rPr>
        <w:t>En la ciudad de Cartagena la informalidad alcanzó el 56% en el año 2012. La mayor parte de los informales se caracterizan por trabajar por cuenta propia, son jefes de hogar, trabajan en pequeñas empresas unipersonales del sector primario y terciario, generan un ingreso de hasta 1.5 salarios mínimos, se encuentra sin afiliación a seguridad social, con un nivel educativo de secundaria incompleta y sin contratos laborales escritos</w:t>
      </w:r>
      <w:r>
        <w:rPr>
          <w:rFonts w:ascii="Arial" w:eastAsiaTheme="minorHAnsi" w:hAnsi="Arial" w:cs="Arial"/>
          <w:lang w:val="es-CO"/>
        </w:rPr>
        <w:t xml:space="preserve"> (Galvis, 2012)</w:t>
      </w:r>
      <w:r w:rsidRPr="0053166E">
        <w:rPr>
          <w:rFonts w:ascii="Arial" w:eastAsiaTheme="minorHAnsi" w:hAnsi="Arial" w:cs="Arial"/>
          <w:lang w:val="es-CO"/>
        </w:rPr>
        <w:t>.</w:t>
      </w:r>
    </w:p>
    <w:p w:rsidR="00B75C85" w:rsidRPr="0053166E"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53166E">
        <w:rPr>
          <w:rFonts w:ascii="Arial" w:eastAsiaTheme="minorHAnsi" w:hAnsi="Arial" w:cs="Arial"/>
          <w:lang w:val="es-CO"/>
        </w:rPr>
        <w:t>Los niveles de informalidad presentados en Bolívar, mayores a los observados al nivel nacional, son un indicador de que la gran parte de la población económicamente activa que entra al mercado laboral se desempeña en trabajos precarios que no brindan las mínimas garantías laborales. El bajo nivel educativo pudo haber incidido en que gran parte de la Población Económicamente Activa haya contribuido a incrementar la informalidad en el territorio.</w:t>
      </w:r>
    </w:p>
    <w:p w:rsidR="0065647E" w:rsidRDefault="0065647E"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F57C80" w:rsidRDefault="00B75C85" w:rsidP="00B75C85">
      <w:pPr>
        <w:pStyle w:val="Epgrafe"/>
        <w:spacing w:line="276" w:lineRule="auto"/>
        <w:jc w:val="center"/>
        <w:rPr>
          <w:rFonts w:ascii="Arial" w:eastAsiaTheme="minorHAnsi" w:hAnsi="Arial" w:cs="Arial"/>
          <w:bCs w:val="0"/>
          <w:noProof/>
          <w:color w:val="auto"/>
          <w:sz w:val="22"/>
          <w:szCs w:val="22"/>
          <w:lang w:val="es-CO"/>
        </w:rPr>
      </w:pPr>
      <w:bookmarkStart w:id="91" w:name="_Toc389666979"/>
      <w:r w:rsidRPr="00F57C80">
        <w:rPr>
          <w:rFonts w:ascii="Arial" w:eastAsiaTheme="minorHAnsi" w:hAnsi="Arial" w:cs="Arial"/>
          <w:bCs w:val="0"/>
          <w:noProof/>
          <w:color w:val="auto"/>
          <w:sz w:val="22"/>
          <w:szCs w:val="22"/>
          <w:lang w:val="es-CO"/>
        </w:rPr>
        <w:t xml:space="preserve">Gráfico </w:t>
      </w:r>
      <w:r w:rsidRPr="00F57C80">
        <w:rPr>
          <w:rFonts w:ascii="Arial" w:eastAsiaTheme="minorHAnsi" w:hAnsi="Arial" w:cs="Arial"/>
          <w:bCs w:val="0"/>
          <w:noProof/>
          <w:color w:val="auto"/>
          <w:sz w:val="22"/>
          <w:szCs w:val="22"/>
          <w:lang w:val="es-CO"/>
        </w:rPr>
        <w:fldChar w:fldCharType="begin"/>
      </w:r>
      <w:r w:rsidRPr="00F57C80">
        <w:rPr>
          <w:rFonts w:ascii="Arial" w:eastAsiaTheme="minorHAnsi" w:hAnsi="Arial" w:cs="Arial"/>
          <w:bCs w:val="0"/>
          <w:noProof/>
          <w:color w:val="auto"/>
          <w:sz w:val="22"/>
          <w:szCs w:val="22"/>
          <w:lang w:val="es-CO"/>
        </w:rPr>
        <w:instrText xml:space="preserve"> SEQ Gráfico \* ARABIC </w:instrText>
      </w:r>
      <w:r w:rsidRPr="00F57C80">
        <w:rPr>
          <w:rFonts w:ascii="Arial" w:eastAsiaTheme="minorHAnsi" w:hAnsi="Arial" w:cs="Arial"/>
          <w:bCs w:val="0"/>
          <w:noProof/>
          <w:color w:val="auto"/>
          <w:sz w:val="22"/>
          <w:szCs w:val="22"/>
          <w:lang w:val="es-CO"/>
        </w:rPr>
        <w:fldChar w:fldCharType="separate"/>
      </w:r>
      <w:r w:rsidR="00D9744C">
        <w:rPr>
          <w:rFonts w:ascii="Arial" w:eastAsiaTheme="minorHAnsi" w:hAnsi="Arial" w:cs="Arial"/>
          <w:bCs w:val="0"/>
          <w:noProof/>
          <w:color w:val="auto"/>
          <w:sz w:val="22"/>
          <w:szCs w:val="22"/>
          <w:lang w:val="es-CO"/>
        </w:rPr>
        <w:t>23</w:t>
      </w:r>
      <w:r w:rsidRPr="00F57C80">
        <w:rPr>
          <w:rFonts w:ascii="Arial" w:eastAsiaTheme="minorHAnsi" w:hAnsi="Arial" w:cs="Arial"/>
          <w:bCs w:val="0"/>
          <w:noProof/>
          <w:color w:val="auto"/>
          <w:sz w:val="22"/>
          <w:szCs w:val="22"/>
          <w:lang w:val="es-CO"/>
        </w:rPr>
        <w:fldChar w:fldCharType="end"/>
      </w:r>
      <w:r w:rsidR="00F57C80" w:rsidRPr="00F57C80">
        <w:rPr>
          <w:rFonts w:ascii="Arial" w:eastAsiaTheme="minorHAnsi" w:hAnsi="Arial" w:cs="Arial"/>
          <w:bCs w:val="0"/>
          <w:noProof/>
          <w:color w:val="auto"/>
          <w:sz w:val="22"/>
          <w:szCs w:val="22"/>
          <w:lang w:val="es-CO"/>
        </w:rPr>
        <w:t>.</w:t>
      </w:r>
      <w:r w:rsidRPr="00F57C80">
        <w:rPr>
          <w:rFonts w:ascii="Arial" w:eastAsiaTheme="minorHAnsi" w:hAnsi="Arial" w:cs="Arial"/>
          <w:bCs w:val="0"/>
          <w:noProof/>
          <w:color w:val="auto"/>
          <w:sz w:val="22"/>
          <w:szCs w:val="22"/>
          <w:lang w:val="es-CO"/>
        </w:rPr>
        <w:t xml:space="preserve"> Informalidad laboral en Bolívar año 2012</w:t>
      </w:r>
      <w:bookmarkEnd w:id="91"/>
    </w:p>
    <w:p w:rsidR="00B75C85" w:rsidRDefault="00B75C85" w:rsidP="00B75C85">
      <w:pPr>
        <w:autoSpaceDE w:val="0"/>
        <w:autoSpaceDN w:val="0"/>
        <w:adjustRightInd w:val="0"/>
        <w:spacing w:line="276" w:lineRule="auto"/>
        <w:jc w:val="both"/>
        <w:rPr>
          <w:rFonts w:ascii="Arial" w:hAnsi="Arial" w:cs="Arial"/>
        </w:rPr>
      </w:pPr>
      <w:r>
        <w:rPr>
          <w:noProof/>
          <w:lang w:eastAsia="es-ES"/>
        </w:rPr>
        <w:drawing>
          <wp:inline distT="0" distB="0" distL="0" distR="0" wp14:anchorId="2E829FF5" wp14:editId="643F53D7">
            <wp:extent cx="5610225" cy="1895475"/>
            <wp:effectExtent l="0" t="0" r="0" b="0"/>
            <wp:docPr id="55"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75C85" w:rsidRPr="00F57C80"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Ministerio del Trabajo.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sz w:val="20"/>
          <w:szCs w:val="16"/>
          <w:lang w:val="es-CO"/>
        </w:rPr>
      </w:pPr>
    </w:p>
    <w:p w:rsidR="00B75C85" w:rsidRDefault="003062F0" w:rsidP="003062F0">
      <w:pPr>
        <w:pStyle w:val="Ttulo2"/>
        <w:spacing w:before="0" w:line="276" w:lineRule="auto"/>
        <w:rPr>
          <w:rFonts w:ascii="Arial" w:hAnsi="Arial" w:cs="Arial"/>
          <w:color w:val="C00000"/>
          <w:sz w:val="22"/>
          <w:szCs w:val="22"/>
        </w:rPr>
      </w:pPr>
      <w:bookmarkStart w:id="92" w:name="_Toc389666624"/>
      <w:r>
        <w:rPr>
          <w:rFonts w:ascii="Arial" w:hAnsi="Arial" w:cs="Arial"/>
          <w:color w:val="C00000"/>
          <w:sz w:val="22"/>
          <w:szCs w:val="22"/>
        </w:rPr>
        <w:t xml:space="preserve">3.3 </w:t>
      </w:r>
      <w:r w:rsidR="00B75C85" w:rsidRPr="00F57C80">
        <w:rPr>
          <w:rFonts w:ascii="Arial" w:hAnsi="Arial" w:cs="Arial"/>
          <w:color w:val="C00000"/>
          <w:sz w:val="22"/>
          <w:szCs w:val="22"/>
        </w:rPr>
        <w:t>Estatus del empleo en grupos poblacionales vulnerables del departamento</w:t>
      </w:r>
      <w:bookmarkEnd w:id="92"/>
    </w:p>
    <w:p w:rsidR="0065647E" w:rsidRPr="000E62F2" w:rsidRDefault="0065647E" w:rsidP="000E62F2"/>
    <w:p w:rsidR="00B75C85" w:rsidRPr="000E62F2" w:rsidRDefault="00C45EC5" w:rsidP="000E62F2">
      <w:pPr>
        <w:jc w:val="both"/>
        <w:rPr>
          <w:rFonts w:ascii="Arial" w:hAnsi="Arial" w:cs="Arial"/>
        </w:rPr>
      </w:pPr>
      <w:r w:rsidRPr="000E62F2">
        <w:rPr>
          <w:rFonts w:ascii="Arial" w:hAnsi="Arial" w:cs="Arial"/>
        </w:rPr>
        <w:t>A continuación se describen algunas cifras relevantes para grupos específicos de la población.</w:t>
      </w:r>
    </w:p>
    <w:p w:rsidR="0065647E" w:rsidRDefault="0065647E" w:rsidP="00B75C85"/>
    <w:p w:rsidR="00B75C85" w:rsidRPr="000E62F2" w:rsidRDefault="00B75C85" w:rsidP="000E62F2">
      <w:pPr>
        <w:rPr>
          <w:rFonts w:ascii="Arial" w:hAnsi="Arial" w:cs="Arial"/>
          <w:lang w:val="es-CO"/>
        </w:rPr>
      </w:pPr>
      <w:r w:rsidRPr="000E62F2">
        <w:rPr>
          <w:rFonts w:ascii="Arial" w:hAnsi="Arial" w:cs="Arial"/>
          <w:b/>
          <w:lang w:val="es-CO"/>
        </w:rPr>
        <w:t>Jóvenes</w:t>
      </w:r>
      <w:r w:rsidR="002710BB" w:rsidRPr="000E62F2">
        <w:rPr>
          <w:rFonts w:ascii="Arial" w:hAnsi="Arial" w:cs="Arial"/>
          <w:b/>
          <w:lang w:val="es-CO"/>
        </w:rPr>
        <w:t xml:space="preserve"> y mujeres</w:t>
      </w:r>
    </w:p>
    <w:p w:rsidR="00B75C85" w:rsidRDefault="00B75C85" w:rsidP="00B75C85">
      <w:pPr>
        <w:autoSpaceDE w:val="0"/>
        <w:autoSpaceDN w:val="0"/>
        <w:adjustRightInd w:val="0"/>
        <w:spacing w:line="276" w:lineRule="auto"/>
        <w:jc w:val="both"/>
        <w:rPr>
          <w:rFonts w:ascii="Arial" w:eastAsiaTheme="minorHAnsi" w:hAnsi="Arial" w:cs="Arial"/>
          <w:b/>
          <w:lang w:val="es-CO"/>
        </w:rPr>
      </w:pPr>
    </w:p>
    <w:p w:rsidR="00B75C85" w:rsidRPr="00482FA9" w:rsidRDefault="00B75C85" w:rsidP="00482FA9">
      <w:pPr>
        <w:autoSpaceDE w:val="0"/>
        <w:autoSpaceDN w:val="0"/>
        <w:adjustRightInd w:val="0"/>
        <w:spacing w:line="276" w:lineRule="auto"/>
        <w:jc w:val="both"/>
        <w:rPr>
          <w:rFonts w:ascii="Arial" w:eastAsiaTheme="minorHAnsi" w:hAnsi="Arial" w:cs="Arial"/>
          <w:lang w:val="es-CO"/>
        </w:rPr>
      </w:pPr>
      <w:r w:rsidRPr="00482FA9">
        <w:rPr>
          <w:rFonts w:ascii="Arial" w:eastAsiaTheme="minorHAnsi" w:hAnsi="Arial" w:cs="Arial"/>
          <w:lang w:val="es-CO"/>
        </w:rPr>
        <w:t>Tal y como se puede observar en la tabla siguiente la tasa de participación en el departamento de Bolívar  para los jóvenes entre 14 y 28 años registra un valor del 51,8% por debajo del total nacional que es del 59,2%. De manera más específica lo que se observa es que para los hombres la tasa de participación es mayor en la zona rural tanto para el departamento (Un 76% frente a un 58,5% en la zona urbana) como para el total nacional (74% frente a un 66,4%). Para las mujeres la tasa de participación es mayor en la zona urbana, con valores de 40,4% en el departamento y 53,6% en el total nacional.</w:t>
      </w:r>
    </w:p>
    <w:p w:rsidR="00B75C85" w:rsidRDefault="00B75C85" w:rsidP="00B75C85">
      <w:pPr>
        <w:autoSpaceDE w:val="0"/>
        <w:autoSpaceDN w:val="0"/>
        <w:adjustRightInd w:val="0"/>
        <w:spacing w:line="276" w:lineRule="auto"/>
        <w:jc w:val="both"/>
        <w:rPr>
          <w:rFonts w:ascii="Arial" w:eastAsiaTheme="minorHAnsi" w:hAnsi="Arial" w:cs="Arial"/>
          <w:b/>
        </w:rPr>
      </w:pPr>
    </w:p>
    <w:p w:rsidR="00B75C85" w:rsidRPr="00F57C80" w:rsidRDefault="00B75C85" w:rsidP="00B75C85">
      <w:pPr>
        <w:pStyle w:val="Epgrafe"/>
        <w:jc w:val="center"/>
        <w:rPr>
          <w:rFonts w:ascii="Arial" w:hAnsi="Arial" w:cs="Arial"/>
          <w:color w:val="auto"/>
          <w:sz w:val="22"/>
          <w:szCs w:val="22"/>
        </w:rPr>
      </w:pPr>
      <w:bookmarkStart w:id="93" w:name="_Toc387665266"/>
      <w:bookmarkStart w:id="94" w:name="_Toc389667019"/>
      <w:r w:rsidRPr="0065647E">
        <w:rPr>
          <w:rFonts w:ascii="Arial" w:hAnsi="Arial" w:cs="Arial"/>
          <w:color w:val="auto"/>
          <w:sz w:val="22"/>
          <w:szCs w:val="22"/>
        </w:rPr>
        <w:t xml:space="preserve">Tabla </w:t>
      </w:r>
      <w:r w:rsidRPr="000E62F2">
        <w:rPr>
          <w:rFonts w:ascii="Arial" w:hAnsi="Arial" w:cs="Arial"/>
          <w:color w:val="auto"/>
          <w:sz w:val="22"/>
          <w:szCs w:val="22"/>
        </w:rPr>
        <w:fldChar w:fldCharType="begin"/>
      </w:r>
      <w:r w:rsidRPr="0065647E">
        <w:rPr>
          <w:rFonts w:ascii="Arial" w:hAnsi="Arial" w:cs="Arial"/>
          <w:color w:val="auto"/>
          <w:sz w:val="22"/>
          <w:szCs w:val="22"/>
        </w:rPr>
        <w:instrText xml:space="preserve"> SEQ Tabla \* ARABIC </w:instrText>
      </w:r>
      <w:r w:rsidRPr="000E62F2">
        <w:rPr>
          <w:rFonts w:ascii="Arial" w:hAnsi="Arial" w:cs="Arial"/>
          <w:color w:val="auto"/>
          <w:sz w:val="22"/>
          <w:szCs w:val="22"/>
        </w:rPr>
        <w:fldChar w:fldCharType="separate"/>
      </w:r>
      <w:r w:rsidR="00D9744C" w:rsidRPr="0065647E">
        <w:rPr>
          <w:rFonts w:ascii="Arial" w:hAnsi="Arial" w:cs="Arial"/>
          <w:noProof/>
          <w:color w:val="auto"/>
          <w:sz w:val="22"/>
          <w:szCs w:val="22"/>
        </w:rPr>
        <w:t>6</w:t>
      </w:r>
      <w:r w:rsidRPr="000E62F2">
        <w:rPr>
          <w:rFonts w:ascii="Arial" w:hAnsi="Arial" w:cs="Arial"/>
          <w:color w:val="auto"/>
          <w:sz w:val="22"/>
          <w:szCs w:val="22"/>
        </w:rPr>
        <w:fldChar w:fldCharType="end"/>
      </w:r>
      <w:r w:rsidRPr="0065647E">
        <w:rPr>
          <w:rFonts w:ascii="Arial" w:hAnsi="Arial" w:cs="Arial"/>
          <w:color w:val="auto"/>
          <w:sz w:val="22"/>
          <w:szCs w:val="22"/>
        </w:rPr>
        <w:t>.</w:t>
      </w:r>
      <w:r w:rsidRPr="00F57C80">
        <w:rPr>
          <w:rFonts w:ascii="Arial" w:hAnsi="Arial" w:cs="Arial"/>
          <w:color w:val="auto"/>
          <w:sz w:val="22"/>
          <w:szCs w:val="22"/>
        </w:rPr>
        <w:t xml:space="preserve"> Principales indicadores de mercado laboral en el departamento de Bolívar para los jóvenes entre los 14 y 28 años</w:t>
      </w:r>
      <w:bookmarkEnd w:id="93"/>
      <w:bookmarkEnd w:id="94"/>
    </w:p>
    <w:tbl>
      <w:tblPr>
        <w:tblW w:w="0" w:type="auto"/>
        <w:jc w:val="center"/>
        <w:tblInd w:w="10" w:type="dxa"/>
        <w:tblCellMar>
          <w:left w:w="70" w:type="dxa"/>
          <w:right w:w="70" w:type="dxa"/>
        </w:tblCellMar>
        <w:tblLook w:val="04A0" w:firstRow="1" w:lastRow="0" w:firstColumn="1" w:lastColumn="0" w:noHBand="0" w:noVBand="1"/>
      </w:tblPr>
      <w:tblGrid>
        <w:gridCol w:w="2197"/>
        <w:gridCol w:w="952"/>
        <w:gridCol w:w="830"/>
        <w:gridCol w:w="652"/>
        <w:gridCol w:w="618"/>
        <w:gridCol w:w="830"/>
        <w:gridCol w:w="652"/>
        <w:gridCol w:w="618"/>
      </w:tblGrid>
      <w:tr w:rsidR="00B75C85" w:rsidRPr="00436018" w:rsidTr="00212C5E">
        <w:trPr>
          <w:trHeight w:val="300"/>
          <w:jc w:val="center"/>
        </w:trPr>
        <w:tc>
          <w:tcPr>
            <w:tcW w:w="0" w:type="auto"/>
            <w:tcBorders>
              <w:top w:val="nil"/>
              <w:left w:val="nil"/>
              <w:bottom w:val="nil"/>
              <w:right w:val="nil"/>
            </w:tcBorders>
            <w:shd w:val="clear" w:color="auto" w:fill="auto"/>
            <w:noWrap/>
            <w:vAlign w:val="bottom"/>
            <w:hideMark/>
          </w:tcPr>
          <w:p w:rsidR="00B75C85" w:rsidRPr="00436018" w:rsidRDefault="00B75C85" w:rsidP="00212C5E">
            <w:pPr>
              <w:rPr>
                <w:rFonts w:ascii="Arial" w:eastAsia="Times New Roman" w:hAnsi="Arial" w:cs="Arial"/>
                <w:sz w:val="20"/>
                <w:szCs w:val="20"/>
                <w:lang w:eastAsia="es-ES"/>
              </w:rPr>
            </w:pPr>
          </w:p>
        </w:tc>
        <w:tc>
          <w:tcPr>
            <w:tcW w:w="0" w:type="auto"/>
            <w:tcBorders>
              <w:top w:val="nil"/>
              <w:left w:val="nil"/>
              <w:bottom w:val="nil"/>
              <w:right w:val="nil"/>
            </w:tcBorders>
            <w:shd w:val="clear" w:color="auto" w:fill="auto"/>
            <w:noWrap/>
            <w:vAlign w:val="bottom"/>
            <w:hideMark/>
          </w:tcPr>
          <w:p w:rsidR="00B75C85" w:rsidRPr="00436018" w:rsidRDefault="00B75C85" w:rsidP="00212C5E">
            <w:pPr>
              <w:rPr>
                <w:rFonts w:ascii="Arial" w:eastAsia="Times New Roman" w:hAnsi="Arial" w:cs="Arial"/>
                <w:sz w:val="20"/>
                <w:szCs w:val="20"/>
                <w:lang w:eastAsia="es-ES"/>
              </w:rPr>
            </w:pPr>
          </w:p>
        </w:tc>
        <w:tc>
          <w:tcPr>
            <w:tcW w:w="0" w:type="auto"/>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Bolívar</w:t>
            </w:r>
          </w:p>
        </w:tc>
        <w:tc>
          <w:tcPr>
            <w:tcW w:w="0" w:type="auto"/>
            <w:gridSpan w:val="3"/>
            <w:tcBorders>
              <w:top w:val="single" w:sz="8" w:space="0" w:color="auto"/>
              <w:left w:val="nil"/>
              <w:bottom w:val="single" w:sz="4" w:space="0" w:color="auto"/>
              <w:right w:val="single" w:sz="8" w:space="0" w:color="000000"/>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Total Nacional</w:t>
            </w:r>
          </w:p>
        </w:tc>
      </w:tr>
      <w:tr w:rsidR="00B75C85" w:rsidRPr="00436018" w:rsidTr="00212C5E">
        <w:trPr>
          <w:trHeight w:val="315"/>
          <w:jc w:val="center"/>
        </w:trPr>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b/>
                <w:bCs/>
                <w:color w:val="000000"/>
                <w:sz w:val="20"/>
                <w:szCs w:val="20"/>
                <w:lang w:eastAsia="es-ES"/>
              </w:rPr>
            </w:pPr>
          </w:p>
        </w:tc>
        <w:tc>
          <w:tcPr>
            <w:tcW w:w="0" w:type="auto"/>
            <w:tcBorders>
              <w:top w:val="nil"/>
              <w:left w:val="nil"/>
              <w:bottom w:val="nil"/>
              <w:right w:val="nil"/>
            </w:tcBorders>
            <w:shd w:val="clear" w:color="auto" w:fill="auto"/>
            <w:noWrap/>
            <w:vAlign w:val="bottom"/>
            <w:hideMark/>
          </w:tcPr>
          <w:p w:rsidR="00B75C85" w:rsidRPr="00436018" w:rsidRDefault="00B75C85" w:rsidP="00212C5E">
            <w:pPr>
              <w:rPr>
                <w:rFonts w:ascii="Arial" w:eastAsia="Times New Roman" w:hAnsi="Arial" w:cs="Arial"/>
                <w:sz w:val="20"/>
                <w:szCs w:val="20"/>
                <w:lang w:eastAsia="es-ES"/>
              </w:rPr>
            </w:pPr>
          </w:p>
        </w:tc>
        <w:tc>
          <w:tcPr>
            <w:tcW w:w="0" w:type="auto"/>
            <w:tcBorders>
              <w:top w:val="nil"/>
              <w:left w:val="single" w:sz="8" w:space="0" w:color="auto"/>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Urbana</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 xml:space="preserve">Rural </w:t>
            </w:r>
          </w:p>
        </w:tc>
        <w:tc>
          <w:tcPr>
            <w:tcW w:w="0" w:type="auto"/>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Urbana</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 xml:space="preserve">Rural </w:t>
            </w: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Total</w:t>
            </w:r>
          </w:p>
        </w:tc>
      </w:tr>
      <w:tr w:rsidR="00B75C85" w:rsidRPr="00436018" w:rsidTr="00212C5E">
        <w:trPr>
          <w:trHeight w:val="30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Tasa de Participación</w:t>
            </w:r>
          </w:p>
        </w:tc>
        <w:tc>
          <w:tcPr>
            <w:tcW w:w="0" w:type="auto"/>
            <w:tcBorders>
              <w:top w:val="single" w:sz="8" w:space="0" w:color="auto"/>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58,5</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76</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63,4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66,4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74</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68,2</w:t>
            </w:r>
          </w:p>
        </w:tc>
      </w:tr>
      <w:tr w:rsidR="00B75C85" w:rsidRPr="00436018" w:rsidTr="00212C5E">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39,9</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40,3</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53,6</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37,5</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50,1</w:t>
            </w:r>
          </w:p>
        </w:tc>
      </w:tr>
      <w:tr w:rsidR="00B75C85" w:rsidRPr="00436018" w:rsidTr="00212C5E">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49,4</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58,4</w:t>
            </w:r>
          </w:p>
        </w:tc>
        <w:tc>
          <w:tcPr>
            <w:tcW w:w="0" w:type="auto"/>
            <w:tcBorders>
              <w:top w:val="nil"/>
              <w:left w:val="nil"/>
              <w:bottom w:val="single" w:sz="4" w:space="0" w:color="auto"/>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51,8</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59,9</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56,7</w:t>
            </w:r>
          </w:p>
        </w:tc>
        <w:tc>
          <w:tcPr>
            <w:tcW w:w="0" w:type="auto"/>
            <w:tcBorders>
              <w:top w:val="nil"/>
              <w:left w:val="nil"/>
              <w:bottom w:val="single" w:sz="4" w:space="0" w:color="auto"/>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59,2</w:t>
            </w:r>
          </w:p>
        </w:tc>
      </w:tr>
      <w:tr w:rsidR="00B75C85" w:rsidRPr="00436018" w:rsidTr="00212C5E">
        <w:trPr>
          <w:trHeight w:val="30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Tasa de Informalidad</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71,9</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50,6</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29,7</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70,5</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40,9</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26,7</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70,9</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39,6</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23,4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62,1</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29,7</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34,6</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71,6</w:t>
            </w:r>
          </w:p>
        </w:tc>
        <w:tc>
          <w:tcPr>
            <w:tcW w:w="0" w:type="auto"/>
            <w:tcBorders>
              <w:top w:val="nil"/>
              <w:left w:val="nil"/>
              <w:bottom w:val="single" w:sz="4" w:space="0" w:color="auto"/>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46,7</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27</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68,2</w:t>
            </w:r>
          </w:p>
        </w:tc>
        <w:tc>
          <w:tcPr>
            <w:tcW w:w="0" w:type="auto"/>
            <w:tcBorders>
              <w:top w:val="nil"/>
              <w:left w:val="nil"/>
              <w:bottom w:val="single" w:sz="4" w:space="0" w:color="auto"/>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36,5</w:t>
            </w:r>
          </w:p>
        </w:tc>
      </w:tr>
      <w:tr w:rsidR="00B75C85" w:rsidRPr="00436018" w:rsidTr="00212C5E">
        <w:trPr>
          <w:trHeight w:val="30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Tasa de Ocupación</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51,3</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71,2</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56,8</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55,8</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68,6</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58,8</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30</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35,1</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31,3</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28,8</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37,9</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40,5</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53,6</w:t>
            </w:r>
          </w:p>
        </w:tc>
        <w:tc>
          <w:tcPr>
            <w:tcW w:w="0" w:type="auto"/>
            <w:tcBorders>
              <w:top w:val="nil"/>
              <w:left w:val="nil"/>
              <w:bottom w:val="single" w:sz="4" w:space="0" w:color="auto"/>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44</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48</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49,7</w:t>
            </w:r>
          </w:p>
        </w:tc>
        <w:tc>
          <w:tcPr>
            <w:tcW w:w="0" w:type="auto"/>
            <w:tcBorders>
              <w:top w:val="nil"/>
              <w:left w:val="nil"/>
              <w:bottom w:val="single" w:sz="4" w:space="0" w:color="auto"/>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48,4</w:t>
            </w:r>
          </w:p>
        </w:tc>
      </w:tr>
      <w:tr w:rsidR="00B75C85" w:rsidRPr="00436018" w:rsidTr="00212C5E">
        <w:trPr>
          <w:trHeight w:val="30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 xml:space="preserve">Tasa de Desempleo </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12,3</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6,4</w:t>
            </w:r>
          </w:p>
        </w:tc>
        <w:tc>
          <w:tcPr>
            <w:tcW w:w="0" w:type="auto"/>
            <w:tcBorders>
              <w:top w:val="nil"/>
              <w:left w:val="nil"/>
              <w:bottom w:val="nil"/>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10,4</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16</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7,4</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13,8</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25,9</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12</w:t>
            </w:r>
          </w:p>
        </w:tc>
        <w:tc>
          <w:tcPr>
            <w:tcW w:w="0" w:type="auto"/>
            <w:tcBorders>
              <w:top w:val="nil"/>
              <w:left w:val="nil"/>
              <w:bottom w:val="nil"/>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22,3</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24,6</w:t>
            </w:r>
          </w:p>
        </w:tc>
        <w:tc>
          <w:tcPr>
            <w:tcW w:w="0" w:type="auto"/>
            <w:tcBorders>
              <w:top w:val="nil"/>
              <w:left w:val="nil"/>
              <w:bottom w:val="nil"/>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23,3</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24,4</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17,9</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8,3</w:t>
            </w:r>
          </w:p>
        </w:tc>
        <w:tc>
          <w:tcPr>
            <w:tcW w:w="0" w:type="auto"/>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15</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19,9</w:t>
            </w:r>
          </w:p>
        </w:tc>
        <w:tc>
          <w:tcPr>
            <w:tcW w:w="0" w:type="auto"/>
            <w:tcBorders>
              <w:top w:val="nil"/>
              <w:left w:val="nil"/>
              <w:bottom w:val="single" w:sz="4" w:space="0" w:color="auto"/>
              <w:right w:val="nil"/>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12,4</w:t>
            </w: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18,3</w:t>
            </w:r>
          </w:p>
        </w:tc>
      </w:tr>
      <w:tr w:rsidR="00B75C85" w:rsidRPr="00436018" w:rsidTr="00212C5E">
        <w:trPr>
          <w:trHeight w:val="30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Subempleo Subjetivo</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51,9</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52,8</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52,2</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57,8</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64,3</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59,6</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47,4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42,7</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46</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59,9</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63,9</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60,5</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4"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50,2</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49,5</w:t>
            </w:r>
          </w:p>
        </w:tc>
        <w:tc>
          <w:tcPr>
            <w:tcW w:w="0" w:type="auto"/>
            <w:tcBorders>
              <w:top w:val="nil"/>
              <w:left w:val="nil"/>
              <w:bottom w:val="single" w:sz="4" w:space="0" w:color="auto"/>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50</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58,7</w:t>
            </w:r>
          </w:p>
        </w:tc>
        <w:tc>
          <w:tcPr>
            <w:tcW w:w="0" w:type="auto"/>
            <w:tcBorders>
              <w:top w:val="nil"/>
              <w:left w:val="nil"/>
              <w:bottom w:val="single" w:sz="4"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64,2</w:t>
            </w:r>
          </w:p>
        </w:tc>
        <w:tc>
          <w:tcPr>
            <w:tcW w:w="0" w:type="auto"/>
            <w:tcBorders>
              <w:top w:val="nil"/>
              <w:left w:val="nil"/>
              <w:bottom w:val="single" w:sz="4" w:space="0" w:color="auto"/>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60</w:t>
            </w:r>
          </w:p>
        </w:tc>
      </w:tr>
      <w:tr w:rsidR="00B75C85" w:rsidRPr="00436018" w:rsidTr="00212C5E">
        <w:trPr>
          <w:trHeight w:val="30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20"/>
                <w:szCs w:val="20"/>
                <w:lang w:eastAsia="es-ES"/>
              </w:rPr>
            </w:pPr>
            <w:r w:rsidRPr="00436018">
              <w:rPr>
                <w:rFonts w:ascii="Arial" w:eastAsia="Times New Roman" w:hAnsi="Arial" w:cs="Arial"/>
                <w:b/>
                <w:bCs/>
                <w:color w:val="000000"/>
                <w:sz w:val="20"/>
                <w:szCs w:val="20"/>
                <w:lang w:eastAsia="es-ES"/>
              </w:rPr>
              <w:t xml:space="preserve">Subempleo Objetivo </w:t>
            </w: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Hombres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34,1</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42,5</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37</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38,8</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41,6</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39,6</w:t>
            </w:r>
          </w:p>
        </w:tc>
      </w:tr>
      <w:tr w:rsidR="00B75C85" w:rsidRPr="00436018" w:rsidTr="00212C5E">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nil"/>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Mujeres</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32,3</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38,1</w:t>
            </w:r>
          </w:p>
        </w:tc>
        <w:tc>
          <w:tcPr>
            <w:tcW w:w="0" w:type="auto"/>
            <w:tcBorders>
              <w:top w:val="nil"/>
              <w:left w:val="nil"/>
              <w:bottom w:val="nil"/>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34</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39,8</w:t>
            </w:r>
          </w:p>
        </w:tc>
        <w:tc>
          <w:tcPr>
            <w:tcW w:w="0" w:type="auto"/>
            <w:tcBorders>
              <w:top w:val="nil"/>
              <w:left w:val="nil"/>
              <w:bottom w:val="nil"/>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39,1</w:t>
            </w:r>
          </w:p>
        </w:tc>
        <w:tc>
          <w:tcPr>
            <w:tcW w:w="0" w:type="auto"/>
            <w:tcBorders>
              <w:top w:val="nil"/>
              <w:left w:val="nil"/>
              <w:bottom w:val="nil"/>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39,7</w:t>
            </w:r>
          </w:p>
        </w:tc>
      </w:tr>
      <w:tr w:rsidR="00B75C85" w:rsidRPr="00436018" w:rsidTr="00212C5E">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b/>
                <w:bCs/>
                <w:color w:val="000000"/>
                <w:sz w:val="20"/>
                <w:szCs w:val="20"/>
                <w:lang w:eastAsia="es-ES"/>
              </w:rPr>
            </w:pPr>
          </w:p>
        </w:tc>
        <w:tc>
          <w:tcPr>
            <w:tcW w:w="0" w:type="auto"/>
            <w:tcBorders>
              <w:top w:val="nil"/>
              <w:left w:val="nil"/>
              <w:bottom w:val="single" w:sz="8" w:space="0" w:color="auto"/>
              <w:right w:val="single" w:sz="8"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Total</w:t>
            </w:r>
          </w:p>
        </w:tc>
        <w:tc>
          <w:tcPr>
            <w:tcW w:w="0" w:type="auto"/>
            <w:tcBorders>
              <w:top w:val="nil"/>
              <w:left w:val="nil"/>
              <w:bottom w:val="single" w:sz="8"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33,4</w:t>
            </w:r>
          </w:p>
        </w:tc>
        <w:tc>
          <w:tcPr>
            <w:tcW w:w="0" w:type="auto"/>
            <w:tcBorders>
              <w:top w:val="nil"/>
              <w:left w:val="nil"/>
              <w:bottom w:val="single" w:sz="8"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41,1</w:t>
            </w:r>
          </w:p>
        </w:tc>
        <w:tc>
          <w:tcPr>
            <w:tcW w:w="0" w:type="auto"/>
            <w:tcBorders>
              <w:top w:val="nil"/>
              <w:left w:val="nil"/>
              <w:bottom w:val="single" w:sz="8" w:space="0" w:color="auto"/>
              <w:right w:val="single" w:sz="4"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35,9</w:t>
            </w:r>
          </w:p>
        </w:tc>
        <w:tc>
          <w:tcPr>
            <w:tcW w:w="0" w:type="auto"/>
            <w:tcBorders>
              <w:top w:val="nil"/>
              <w:left w:val="nil"/>
              <w:bottom w:val="single" w:sz="8"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39,2</w:t>
            </w:r>
          </w:p>
        </w:tc>
        <w:tc>
          <w:tcPr>
            <w:tcW w:w="0" w:type="auto"/>
            <w:tcBorders>
              <w:top w:val="nil"/>
              <w:left w:val="nil"/>
              <w:bottom w:val="single" w:sz="8" w:space="0" w:color="auto"/>
              <w:right w:val="nil"/>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40,9</w:t>
            </w:r>
          </w:p>
        </w:tc>
        <w:tc>
          <w:tcPr>
            <w:tcW w:w="0" w:type="auto"/>
            <w:tcBorders>
              <w:top w:val="nil"/>
              <w:left w:val="nil"/>
              <w:bottom w:val="single" w:sz="8" w:space="0" w:color="auto"/>
              <w:right w:val="single" w:sz="8" w:space="0" w:color="auto"/>
            </w:tcBorders>
            <w:shd w:val="clear" w:color="auto" w:fill="auto"/>
            <w:noWrap/>
            <w:vAlign w:val="bottom"/>
            <w:hideMark/>
          </w:tcPr>
          <w:p w:rsidR="00B75C85" w:rsidRPr="00436018" w:rsidRDefault="00B75C85" w:rsidP="00212C5E">
            <w:pPr>
              <w:jc w:val="center"/>
              <w:rPr>
                <w:rFonts w:ascii="Arial" w:eastAsia="Times New Roman" w:hAnsi="Arial" w:cs="Arial"/>
                <w:color w:val="000000"/>
                <w:sz w:val="20"/>
                <w:szCs w:val="20"/>
                <w:lang w:eastAsia="es-ES"/>
              </w:rPr>
            </w:pPr>
            <w:r w:rsidRPr="00436018">
              <w:rPr>
                <w:rFonts w:ascii="Arial" w:eastAsia="Times New Roman" w:hAnsi="Arial" w:cs="Arial"/>
                <w:color w:val="000000"/>
                <w:sz w:val="20"/>
                <w:szCs w:val="20"/>
                <w:lang w:eastAsia="es-ES"/>
              </w:rPr>
              <w:t>39,6</w:t>
            </w:r>
          </w:p>
        </w:tc>
      </w:tr>
    </w:tbl>
    <w:p w:rsidR="00B75C85" w:rsidRPr="004F3C9E" w:rsidRDefault="00B75C85" w:rsidP="00B75C85">
      <w:pPr>
        <w:jc w:val="center"/>
        <w:rPr>
          <w:rFonts w:ascii="Arial" w:hAnsi="Arial" w:cs="Arial"/>
          <w:sz w:val="18"/>
          <w:szCs w:val="18"/>
        </w:rPr>
      </w:pPr>
      <w:r w:rsidRPr="004F3C9E">
        <w:rPr>
          <w:rFonts w:ascii="Arial" w:hAnsi="Arial" w:cs="Arial"/>
          <w:sz w:val="18"/>
          <w:szCs w:val="18"/>
        </w:rPr>
        <w:t>Fuente: Cálculos propios. DANE. Gran Encuesta Integrada de Hogares, 2012.</w:t>
      </w:r>
    </w:p>
    <w:p w:rsidR="00B75C85" w:rsidRDefault="00B75C85" w:rsidP="00B75C85">
      <w:pPr>
        <w:jc w:val="both"/>
        <w:rPr>
          <w:rFonts w:ascii="Arial" w:hAnsi="Arial" w:cs="Arial"/>
        </w:rPr>
      </w:pPr>
    </w:p>
    <w:p w:rsidR="00C45EC5"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 xml:space="preserve">La tasa de informalidad para este grupo de edad es del 46,7%, 10 puntos porcentuales por arriba del total nacional (36,5%), Son los hombres quienes presentan mayor grado de informalidad que las mujeres, llegando a alcanzar tasas del 50,6% a nivel departamental y 40,9% a nivel nacional. </w:t>
      </w:r>
    </w:p>
    <w:p w:rsidR="00482FA9" w:rsidRDefault="00482FA9" w:rsidP="00482FA9">
      <w:pPr>
        <w:pStyle w:val="Prrafodelista"/>
        <w:autoSpaceDE w:val="0"/>
        <w:autoSpaceDN w:val="0"/>
        <w:adjustRightInd w:val="0"/>
        <w:spacing w:line="276" w:lineRule="auto"/>
        <w:jc w:val="both"/>
        <w:rPr>
          <w:rFonts w:ascii="Arial" w:eastAsiaTheme="minorHAnsi" w:hAnsi="Arial" w:cs="Arial"/>
          <w:lang w:val="es-CO"/>
        </w:rPr>
      </w:pPr>
    </w:p>
    <w:p w:rsidR="00C45EC5"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 xml:space="preserve">Las mujeres presentan tasas de informalidad en la zona urbana del 26,7% y en la zona rural del 70,9%. </w:t>
      </w:r>
    </w:p>
    <w:p w:rsidR="00482FA9" w:rsidRPr="00482FA9" w:rsidRDefault="00482FA9" w:rsidP="00482FA9">
      <w:pPr>
        <w:pStyle w:val="Prrafodelista"/>
        <w:rPr>
          <w:rFonts w:ascii="Arial" w:eastAsiaTheme="minorHAnsi" w:hAnsi="Arial" w:cs="Arial"/>
          <w:lang w:val="es-CO"/>
        </w:rPr>
      </w:pPr>
    </w:p>
    <w:p w:rsidR="00B75C85" w:rsidRPr="000145B6"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De acuerdo con los datos presentados, la informalidad es mucho menor en la zona urbana (34,6%) pero se pueden observar las grandes diferencias que presenta con respecto a la zona rural, ésta llega a ser mucho mayor que la primera (71,6%).</w:t>
      </w:r>
    </w:p>
    <w:p w:rsidR="00B75C85" w:rsidRPr="00436018" w:rsidRDefault="00B75C85" w:rsidP="00B75C85">
      <w:pPr>
        <w:autoSpaceDE w:val="0"/>
        <w:autoSpaceDN w:val="0"/>
        <w:adjustRightInd w:val="0"/>
        <w:spacing w:line="276" w:lineRule="auto"/>
        <w:jc w:val="both"/>
        <w:rPr>
          <w:rFonts w:ascii="Arial" w:eastAsiaTheme="minorHAnsi" w:hAnsi="Arial" w:cs="Arial"/>
          <w:lang w:val="es-CO"/>
        </w:rPr>
      </w:pPr>
    </w:p>
    <w:p w:rsidR="00B75C85" w:rsidRPr="000145B6"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Siguiendo con el análisis en la tasa de ocupación  la zona rural presenta la tasa más alta para el total del departamento (53,6%), en los hombres el comportamiento es similar, a nivel rural las tasas llegan a ser del 71,2% para Bolívar y del 68,6% para el total nacional, a nivel urbano las tasas son de 51,3 y 55,8% respectivamente;  en las mujeres este comportamiento es igual, es decir, las tasas de ocupación son más altas en las zonas rurales (35,1%) que en las zonas urbanas (30%).</w:t>
      </w:r>
    </w:p>
    <w:p w:rsidR="00B75C85" w:rsidRPr="00436018" w:rsidRDefault="00B75C85" w:rsidP="00B75C85">
      <w:pPr>
        <w:autoSpaceDE w:val="0"/>
        <w:autoSpaceDN w:val="0"/>
        <w:adjustRightInd w:val="0"/>
        <w:spacing w:line="276" w:lineRule="auto"/>
        <w:jc w:val="both"/>
        <w:rPr>
          <w:rFonts w:ascii="Arial" w:eastAsiaTheme="minorHAnsi" w:hAnsi="Arial" w:cs="Arial"/>
          <w:lang w:val="es-CO"/>
        </w:rPr>
      </w:pPr>
    </w:p>
    <w:p w:rsidR="00B75C85" w:rsidRPr="000145B6"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La tasa de desempleo para este grupo de edad, en la zona urbana es del 12,3% para hombres y 25,9% para mujeres, en la zona rural las tasas son del 6,4% para hombres y 12% para las mujeres. De manera general, la tasa de desempleo en Bolívar es del 15% valor por debajo al registrado en el total nacional (18,3%).</w:t>
      </w:r>
    </w:p>
    <w:p w:rsidR="00B75C85" w:rsidRPr="00436018" w:rsidRDefault="00B75C85" w:rsidP="00B75C85">
      <w:pPr>
        <w:autoSpaceDE w:val="0"/>
        <w:autoSpaceDN w:val="0"/>
        <w:adjustRightInd w:val="0"/>
        <w:spacing w:line="276" w:lineRule="auto"/>
        <w:jc w:val="both"/>
        <w:rPr>
          <w:rFonts w:ascii="Arial" w:eastAsiaTheme="minorHAnsi" w:hAnsi="Arial" w:cs="Arial"/>
          <w:lang w:val="es-CO"/>
        </w:rPr>
      </w:pPr>
    </w:p>
    <w:p w:rsidR="00B75C85" w:rsidRPr="000145B6"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El subempleo subjetivo en el departamento para este grupo poblacional llega a ser del 50% a nivel total, para los hombres es del 52,2% y para las mujeres del 46%, es decir, son los hombres los que más desean mejorar sus ingresos, el número de horas trabajadas o tener un trabajo más acorde con sus competencias. A nivel Urbano la tasa llega a ser del 50,2% y a nivel rural del 49,5%, en el total nacional llegan a ser de 58,7% y 64,2% respectivamente.</w:t>
      </w:r>
    </w:p>
    <w:p w:rsidR="00B75C85" w:rsidRPr="00436018" w:rsidRDefault="00B75C85" w:rsidP="00B75C85">
      <w:pPr>
        <w:autoSpaceDE w:val="0"/>
        <w:autoSpaceDN w:val="0"/>
        <w:adjustRightInd w:val="0"/>
        <w:spacing w:line="276" w:lineRule="auto"/>
        <w:jc w:val="both"/>
        <w:rPr>
          <w:rFonts w:ascii="Arial" w:eastAsiaTheme="minorHAnsi" w:hAnsi="Arial" w:cs="Arial"/>
          <w:lang w:val="es-CO"/>
        </w:rPr>
      </w:pPr>
      <w:r w:rsidRPr="00436018">
        <w:rPr>
          <w:rFonts w:ascii="Arial" w:eastAsiaTheme="minorHAnsi" w:hAnsi="Arial" w:cs="Arial"/>
          <w:lang w:val="es-CO"/>
        </w:rPr>
        <w:t xml:space="preserve"> </w:t>
      </w:r>
    </w:p>
    <w:p w:rsidR="00B75C85" w:rsidRPr="000145B6" w:rsidRDefault="00B75C85"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 xml:space="preserve">Para finalizar, el subempleo objetivo a nivel rural alcanza un valor del 41,1% a diferencia de la zona urbana en la que es de 33,4%, es decir, el subempleo objetivo se presenta más en la zona rural. Las tasas de subempleo objetivo para </w:t>
      </w:r>
      <w:r w:rsidRPr="000145B6">
        <w:rPr>
          <w:rFonts w:ascii="Arial" w:eastAsiaTheme="minorHAnsi" w:hAnsi="Arial" w:cs="Arial"/>
          <w:lang w:val="es-CO"/>
        </w:rPr>
        <w:lastRenderedPageBreak/>
        <w:t>hombres y mujeres  son de 37% y 34% respectivamente, para el total del departamento es de 35,9%. A nivel nacional, el valor de esta tasa es del 39,6%.</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2710BB" w:rsidRPr="000145B6" w:rsidRDefault="002710BB" w:rsidP="00DC6E74">
      <w:pPr>
        <w:pStyle w:val="Prrafodelista"/>
        <w:numPr>
          <w:ilvl w:val="0"/>
          <w:numId w:val="35"/>
        </w:numPr>
        <w:autoSpaceDE w:val="0"/>
        <w:autoSpaceDN w:val="0"/>
        <w:adjustRightInd w:val="0"/>
        <w:spacing w:line="276" w:lineRule="auto"/>
        <w:jc w:val="both"/>
        <w:rPr>
          <w:rFonts w:ascii="Arial" w:eastAsiaTheme="minorHAnsi" w:hAnsi="Arial" w:cs="Arial"/>
          <w:lang w:val="es-CO"/>
        </w:rPr>
      </w:pPr>
      <w:r w:rsidRPr="000145B6">
        <w:rPr>
          <w:rFonts w:ascii="Arial" w:eastAsiaTheme="minorHAnsi" w:hAnsi="Arial" w:cs="Arial"/>
          <w:lang w:val="es-CO"/>
        </w:rPr>
        <w:t>Por otro lado, la población joven económicamente activa entre los 20 y 39 años representan el 70% del total de desocupados en el departamento de Bolívar. Las mujeres del departamento son el grupo de población que más aporta a los indicadores de desempleo del departamento, en tanto representan el 61% de la población desocupada.</w:t>
      </w:r>
    </w:p>
    <w:p w:rsidR="002710BB" w:rsidRDefault="002710BB" w:rsidP="002710BB">
      <w:pPr>
        <w:autoSpaceDE w:val="0"/>
        <w:autoSpaceDN w:val="0"/>
        <w:adjustRightInd w:val="0"/>
        <w:spacing w:line="276" w:lineRule="auto"/>
        <w:jc w:val="both"/>
        <w:rPr>
          <w:rFonts w:ascii="Arial" w:eastAsiaTheme="minorHAnsi" w:hAnsi="Arial" w:cs="Arial"/>
          <w:lang w:val="es-CO"/>
        </w:rPr>
      </w:pPr>
    </w:p>
    <w:p w:rsidR="002710BB" w:rsidRPr="00F57C80" w:rsidRDefault="002710BB" w:rsidP="002710BB">
      <w:pPr>
        <w:pStyle w:val="Epgrafe"/>
        <w:spacing w:line="276" w:lineRule="auto"/>
        <w:jc w:val="center"/>
        <w:rPr>
          <w:rFonts w:ascii="Arial" w:eastAsiaTheme="minorHAnsi" w:hAnsi="Arial" w:cs="Arial"/>
          <w:bCs w:val="0"/>
          <w:noProof/>
          <w:color w:val="auto"/>
          <w:sz w:val="22"/>
          <w:szCs w:val="22"/>
          <w:lang w:val="es-CO"/>
        </w:rPr>
      </w:pPr>
      <w:bookmarkStart w:id="95" w:name="_Toc389667020"/>
      <w:r w:rsidRPr="00F57C80">
        <w:rPr>
          <w:rFonts w:ascii="Arial" w:eastAsiaTheme="minorHAnsi" w:hAnsi="Arial" w:cs="Arial"/>
          <w:bCs w:val="0"/>
          <w:noProof/>
          <w:color w:val="auto"/>
          <w:sz w:val="22"/>
          <w:szCs w:val="22"/>
          <w:lang w:val="es-CO"/>
        </w:rPr>
        <w:t xml:space="preserve">Tabla </w:t>
      </w:r>
      <w:r w:rsidRPr="00F57C80">
        <w:rPr>
          <w:rFonts w:ascii="Arial" w:eastAsiaTheme="minorHAnsi" w:hAnsi="Arial" w:cs="Arial"/>
          <w:bCs w:val="0"/>
          <w:noProof/>
          <w:color w:val="auto"/>
          <w:sz w:val="22"/>
          <w:szCs w:val="22"/>
          <w:lang w:val="es-CO"/>
        </w:rPr>
        <w:fldChar w:fldCharType="begin"/>
      </w:r>
      <w:r w:rsidRPr="00F57C80">
        <w:rPr>
          <w:rFonts w:ascii="Arial" w:eastAsiaTheme="minorHAnsi" w:hAnsi="Arial" w:cs="Arial"/>
          <w:bCs w:val="0"/>
          <w:noProof/>
          <w:color w:val="auto"/>
          <w:sz w:val="22"/>
          <w:szCs w:val="22"/>
          <w:lang w:val="es-CO"/>
        </w:rPr>
        <w:instrText xml:space="preserve"> SEQ Tabla \* ARABIC </w:instrText>
      </w:r>
      <w:r w:rsidRPr="00F57C80">
        <w:rPr>
          <w:rFonts w:ascii="Arial" w:eastAsiaTheme="minorHAnsi" w:hAnsi="Arial" w:cs="Arial"/>
          <w:bCs w:val="0"/>
          <w:noProof/>
          <w:color w:val="auto"/>
          <w:sz w:val="22"/>
          <w:szCs w:val="22"/>
          <w:lang w:val="es-CO"/>
        </w:rPr>
        <w:fldChar w:fldCharType="separate"/>
      </w:r>
      <w:r>
        <w:rPr>
          <w:rFonts w:ascii="Arial" w:eastAsiaTheme="minorHAnsi" w:hAnsi="Arial" w:cs="Arial"/>
          <w:bCs w:val="0"/>
          <w:noProof/>
          <w:color w:val="auto"/>
          <w:sz w:val="22"/>
          <w:szCs w:val="22"/>
          <w:lang w:val="es-CO"/>
        </w:rPr>
        <w:t>7</w:t>
      </w:r>
      <w:r w:rsidRPr="00F57C80">
        <w:rPr>
          <w:rFonts w:ascii="Arial" w:eastAsiaTheme="minorHAnsi" w:hAnsi="Arial" w:cs="Arial"/>
          <w:bCs w:val="0"/>
          <w:noProof/>
          <w:color w:val="auto"/>
          <w:sz w:val="22"/>
          <w:szCs w:val="22"/>
          <w:lang w:val="es-CO"/>
        </w:rPr>
        <w:fldChar w:fldCharType="end"/>
      </w:r>
      <w:r w:rsidRPr="00F57C80">
        <w:rPr>
          <w:rFonts w:ascii="Arial" w:eastAsiaTheme="minorHAnsi" w:hAnsi="Arial" w:cs="Arial"/>
          <w:bCs w:val="0"/>
          <w:noProof/>
          <w:color w:val="auto"/>
          <w:sz w:val="22"/>
          <w:szCs w:val="22"/>
          <w:lang w:val="es-CO"/>
        </w:rPr>
        <w:t>. Desocupados por género. Bolívar (2012)</w:t>
      </w:r>
      <w:bookmarkEnd w:id="95"/>
    </w:p>
    <w:tbl>
      <w:tblPr>
        <w:tblW w:w="3829"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7"/>
        <w:gridCol w:w="1200"/>
        <w:gridCol w:w="1522"/>
      </w:tblGrid>
      <w:tr w:rsidR="002710BB" w:rsidRPr="00F46004" w:rsidTr="00E25C7B">
        <w:trPr>
          <w:trHeight w:val="300"/>
          <w:jc w:val="center"/>
        </w:trPr>
        <w:tc>
          <w:tcPr>
            <w:tcW w:w="1229" w:type="dxa"/>
            <w:shd w:val="clear" w:color="auto" w:fill="auto"/>
            <w:noWrap/>
            <w:vAlign w:val="center"/>
            <w:hideMark/>
          </w:tcPr>
          <w:p w:rsidR="002710BB" w:rsidRPr="00436018" w:rsidRDefault="002710BB" w:rsidP="00E25C7B">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Descriptiva</w:t>
            </w:r>
          </w:p>
        </w:tc>
        <w:tc>
          <w:tcPr>
            <w:tcW w:w="1200" w:type="dxa"/>
            <w:shd w:val="clear" w:color="auto" w:fill="auto"/>
            <w:noWrap/>
            <w:vAlign w:val="center"/>
            <w:hideMark/>
          </w:tcPr>
          <w:p w:rsidR="002710BB" w:rsidRPr="00436018" w:rsidRDefault="002710BB" w:rsidP="00E25C7B">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Número</w:t>
            </w:r>
          </w:p>
        </w:tc>
        <w:tc>
          <w:tcPr>
            <w:tcW w:w="1400" w:type="dxa"/>
            <w:shd w:val="clear" w:color="auto" w:fill="auto"/>
            <w:noWrap/>
            <w:vAlign w:val="center"/>
            <w:hideMark/>
          </w:tcPr>
          <w:p w:rsidR="002710BB" w:rsidRPr="00436018" w:rsidRDefault="002710BB" w:rsidP="00E25C7B">
            <w:pPr>
              <w:jc w:val="center"/>
              <w:rPr>
                <w:rFonts w:ascii="Arial" w:eastAsia="Times New Roman" w:hAnsi="Arial" w:cs="Arial"/>
                <w:b/>
                <w:color w:val="000000"/>
                <w:lang w:val="es-CO" w:eastAsia="es-CO"/>
              </w:rPr>
            </w:pPr>
            <w:r w:rsidRPr="00436018">
              <w:rPr>
                <w:rFonts w:ascii="Arial" w:eastAsia="Times New Roman" w:hAnsi="Arial" w:cs="Arial"/>
                <w:b/>
                <w:color w:val="000000"/>
                <w:lang w:val="es-CO" w:eastAsia="es-CO"/>
              </w:rPr>
              <w:t>Participación</w:t>
            </w:r>
          </w:p>
        </w:tc>
      </w:tr>
      <w:tr w:rsidR="002710BB" w:rsidRPr="00F46004" w:rsidTr="00E25C7B">
        <w:trPr>
          <w:trHeight w:val="300"/>
          <w:jc w:val="center"/>
        </w:trPr>
        <w:tc>
          <w:tcPr>
            <w:tcW w:w="1229" w:type="dxa"/>
            <w:shd w:val="clear" w:color="auto" w:fill="auto"/>
            <w:noWrap/>
            <w:vAlign w:val="bottom"/>
            <w:hideMark/>
          </w:tcPr>
          <w:p w:rsidR="002710BB" w:rsidRPr="00F46004" w:rsidRDefault="002710BB" w:rsidP="00E25C7B">
            <w:pPr>
              <w:rPr>
                <w:rFonts w:ascii="Arial" w:eastAsia="Times New Roman" w:hAnsi="Arial" w:cs="Arial"/>
                <w:color w:val="000000"/>
                <w:lang w:val="es-CO" w:eastAsia="es-CO"/>
              </w:rPr>
            </w:pPr>
            <w:r w:rsidRPr="00F46004">
              <w:rPr>
                <w:rFonts w:ascii="Arial" w:eastAsia="Times New Roman" w:hAnsi="Arial" w:cs="Arial"/>
                <w:color w:val="000000"/>
                <w:lang w:val="es-CO" w:eastAsia="es-CO"/>
              </w:rPr>
              <w:t>Total</w:t>
            </w:r>
          </w:p>
        </w:tc>
        <w:tc>
          <w:tcPr>
            <w:tcW w:w="12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 xml:space="preserve">      70.767 </w:t>
            </w:r>
          </w:p>
        </w:tc>
        <w:tc>
          <w:tcPr>
            <w:tcW w:w="14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100%</w:t>
            </w:r>
          </w:p>
        </w:tc>
      </w:tr>
      <w:tr w:rsidR="002710BB" w:rsidRPr="00F46004" w:rsidTr="00E25C7B">
        <w:trPr>
          <w:trHeight w:val="300"/>
          <w:jc w:val="center"/>
        </w:trPr>
        <w:tc>
          <w:tcPr>
            <w:tcW w:w="1229" w:type="dxa"/>
            <w:shd w:val="clear" w:color="auto" w:fill="auto"/>
            <w:noWrap/>
            <w:vAlign w:val="bottom"/>
            <w:hideMark/>
          </w:tcPr>
          <w:p w:rsidR="002710BB" w:rsidRPr="00F46004" w:rsidRDefault="002710BB" w:rsidP="00E25C7B">
            <w:pPr>
              <w:rPr>
                <w:rFonts w:ascii="Arial" w:eastAsia="Times New Roman" w:hAnsi="Arial" w:cs="Arial"/>
                <w:color w:val="000000"/>
                <w:lang w:val="es-CO" w:eastAsia="es-CO"/>
              </w:rPr>
            </w:pPr>
            <w:r w:rsidRPr="00F46004">
              <w:rPr>
                <w:rFonts w:ascii="Arial" w:eastAsia="Times New Roman" w:hAnsi="Arial" w:cs="Arial"/>
                <w:color w:val="000000"/>
                <w:lang w:val="es-CO" w:eastAsia="es-CO"/>
              </w:rPr>
              <w:t>Hombres</w:t>
            </w:r>
          </w:p>
        </w:tc>
        <w:tc>
          <w:tcPr>
            <w:tcW w:w="12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 xml:space="preserve">      27.473 </w:t>
            </w:r>
          </w:p>
        </w:tc>
        <w:tc>
          <w:tcPr>
            <w:tcW w:w="14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38,80%</w:t>
            </w:r>
          </w:p>
        </w:tc>
      </w:tr>
      <w:tr w:rsidR="002710BB" w:rsidRPr="00F46004" w:rsidTr="00E25C7B">
        <w:trPr>
          <w:trHeight w:val="300"/>
          <w:jc w:val="center"/>
        </w:trPr>
        <w:tc>
          <w:tcPr>
            <w:tcW w:w="1229" w:type="dxa"/>
            <w:shd w:val="clear" w:color="auto" w:fill="auto"/>
            <w:noWrap/>
            <w:vAlign w:val="bottom"/>
            <w:hideMark/>
          </w:tcPr>
          <w:p w:rsidR="002710BB" w:rsidRPr="00F46004" w:rsidRDefault="002710BB" w:rsidP="00E25C7B">
            <w:pPr>
              <w:rPr>
                <w:rFonts w:ascii="Arial" w:eastAsia="Times New Roman" w:hAnsi="Arial" w:cs="Arial"/>
                <w:color w:val="000000"/>
                <w:lang w:val="es-CO" w:eastAsia="es-CO"/>
              </w:rPr>
            </w:pPr>
            <w:r w:rsidRPr="00F46004">
              <w:rPr>
                <w:rFonts w:ascii="Arial" w:eastAsia="Times New Roman" w:hAnsi="Arial" w:cs="Arial"/>
                <w:color w:val="000000"/>
                <w:lang w:val="es-CO" w:eastAsia="es-CO"/>
              </w:rPr>
              <w:t>Mujeres</w:t>
            </w:r>
          </w:p>
        </w:tc>
        <w:tc>
          <w:tcPr>
            <w:tcW w:w="12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 xml:space="preserve">      43.294 </w:t>
            </w:r>
          </w:p>
        </w:tc>
        <w:tc>
          <w:tcPr>
            <w:tcW w:w="1400" w:type="dxa"/>
            <w:shd w:val="clear" w:color="auto" w:fill="auto"/>
            <w:noWrap/>
            <w:vAlign w:val="bottom"/>
            <w:hideMark/>
          </w:tcPr>
          <w:p w:rsidR="002710BB" w:rsidRPr="00F46004" w:rsidRDefault="002710BB" w:rsidP="00E25C7B">
            <w:pPr>
              <w:jc w:val="right"/>
              <w:rPr>
                <w:rFonts w:ascii="Arial" w:eastAsia="Times New Roman" w:hAnsi="Arial" w:cs="Arial"/>
                <w:color w:val="000000"/>
                <w:lang w:val="es-CO" w:eastAsia="es-CO"/>
              </w:rPr>
            </w:pPr>
            <w:r w:rsidRPr="00F46004">
              <w:rPr>
                <w:rFonts w:ascii="Arial" w:eastAsia="Times New Roman" w:hAnsi="Arial" w:cs="Arial"/>
                <w:color w:val="000000"/>
                <w:lang w:val="es-CO" w:eastAsia="es-CO"/>
              </w:rPr>
              <w:t>61,20%</w:t>
            </w:r>
          </w:p>
        </w:tc>
      </w:tr>
    </w:tbl>
    <w:p w:rsidR="002710BB" w:rsidRPr="00F57C80" w:rsidRDefault="002710BB" w:rsidP="002710BB">
      <w:pPr>
        <w:autoSpaceDE w:val="0"/>
        <w:autoSpaceDN w:val="0"/>
        <w:adjustRightInd w:val="0"/>
        <w:spacing w:line="276" w:lineRule="auto"/>
        <w:jc w:val="center"/>
        <w:rPr>
          <w:rFonts w:ascii="Arial" w:eastAsiaTheme="minorHAnsi" w:hAnsi="Arial" w:cs="Arial"/>
          <w:sz w:val="18"/>
          <w:szCs w:val="18"/>
          <w:lang w:val="es-CO"/>
        </w:rPr>
      </w:pPr>
      <w:r w:rsidRPr="00F57C80">
        <w:rPr>
          <w:rFonts w:ascii="Arial" w:eastAsiaTheme="minorHAnsi" w:hAnsi="Arial" w:cs="Arial"/>
          <w:sz w:val="18"/>
          <w:szCs w:val="18"/>
          <w:lang w:val="es-CO"/>
        </w:rPr>
        <w:t>Fuente: DANE. Cálculos FUPAD – Ministerio del Trabajo</w:t>
      </w:r>
    </w:p>
    <w:p w:rsidR="002710BB" w:rsidRDefault="002710BB" w:rsidP="00B75C85">
      <w:pPr>
        <w:autoSpaceDE w:val="0"/>
        <w:autoSpaceDN w:val="0"/>
        <w:adjustRightInd w:val="0"/>
        <w:spacing w:line="276" w:lineRule="auto"/>
        <w:jc w:val="both"/>
        <w:rPr>
          <w:rFonts w:ascii="Arial" w:eastAsiaTheme="minorHAnsi" w:hAnsi="Arial" w:cs="Arial"/>
          <w:lang w:val="es-CO"/>
        </w:rPr>
      </w:pPr>
    </w:p>
    <w:p w:rsidR="002710BB" w:rsidRDefault="002710BB" w:rsidP="00B75C85">
      <w:pPr>
        <w:autoSpaceDE w:val="0"/>
        <w:autoSpaceDN w:val="0"/>
        <w:adjustRightInd w:val="0"/>
        <w:spacing w:line="276" w:lineRule="auto"/>
        <w:jc w:val="both"/>
        <w:rPr>
          <w:rFonts w:ascii="Arial" w:eastAsiaTheme="minorHAnsi" w:hAnsi="Arial" w:cs="Arial"/>
          <w:lang w:val="es-CO"/>
        </w:rPr>
      </w:pPr>
    </w:p>
    <w:p w:rsidR="00B75C85" w:rsidRPr="000E62F2" w:rsidRDefault="00B75C85" w:rsidP="000E62F2">
      <w:pPr>
        <w:rPr>
          <w:rFonts w:ascii="Arial" w:hAnsi="Arial" w:cs="Arial"/>
          <w:lang w:val="es-CO"/>
        </w:rPr>
      </w:pPr>
      <w:r w:rsidRPr="000E62F2">
        <w:rPr>
          <w:rFonts w:ascii="Arial" w:hAnsi="Arial" w:cs="Arial"/>
          <w:b/>
          <w:lang w:val="es-CO"/>
        </w:rPr>
        <w:t>Población Red UNIDOS</w:t>
      </w:r>
    </w:p>
    <w:p w:rsidR="00B75C85" w:rsidRPr="00436018" w:rsidRDefault="00B75C85" w:rsidP="00B75C85">
      <w:pPr>
        <w:autoSpaceDE w:val="0"/>
        <w:autoSpaceDN w:val="0"/>
        <w:adjustRightInd w:val="0"/>
        <w:spacing w:line="276" w:lineRule="auto"/>
        <w:jc w:val="both"/>
        <w:rPr>
          <w:rFonts w:ascii="Arial" w:eastAsiaTheme="minorHAnsi" w:hAnsi="Arial" w:cs="Arial"/>
          <w:b/>
          <w:lang w:val="es-CO"/>
        </w:rPr>
      </w:pPr>
    </w:p>
    <w:p w:rsidR="00B75C85" w:rsidRPr="00F46004" w:rsidRDefault="00B75C85" w:rsidP="00B75C85">
      <w:pPr>
        <w:autoSpaceDE w:val="0"/>
        <w:autoSpaceDN w:val="0"/>
        <w:adjustRightInd w:val="0"/>
        <w:spacing w:line="276" w:lineRule="auto"/>
        <w:jc w:val="both"/>
        <w:rPr>
          <w:rFonts w:ascii="Arial" w:eastAsiaTheme="minorHAnsi" w:hAnsi="Arial" w:cs="Arial"/>
          <w:lang w:val="es-CO"/>
        </w:rPr>
      </w:pPr>
      <w:r w:rsidRPr="00F46004">
        <w:rPr>
          <w:rFonts w:ascii="Arial" w:eastAsiaTheme="minorHAnsi" w:hAnsi="Arial" w:cs="Arial"/>
          <w:lang w:val="es-CO"/>
        </w:rPr>
        <w:t xml:space="preserve">El desempleo es más relevante en los grupos poblacionales más vulnerables. La población en extrema pobreza atendida por la Estrategia </w:t>
      </w:r>
      <w:r>
        <w:rPr>
          <w:rFonts w:ascii="Arial" w:eastAsiaTheme="minorHAnsi" w:hAnsi="Arial" w:cs="Arial"/>
          <w:lang w:val="es-CO"/>
        </w:rPr>
        <w:t>UNIDOS</w:t>
      </w:r>
      <w:r w:rsidRPr="00F46004">
        <w:rPr>
          <w:rFonts w:ascii="Arial" w:eastAsiaTheme="minorHAnsi" w:hAnsi="Arial" w:cs="Arial"/>
          <w:lang w:val="es-CO"/>
        </w:rPr>
        <w:t xml:space="preserve"> en el departamento de Bolívar asciende a 280.904 personas, de las cuales 113.901 son población económicamente activa. La tasa de desempleo es del 35%.</w:t>
      </w:r>
    </w:p>
    <w:p w:rsidR="00B75C85" w:rsidRPr="00F46004" w:rsidRDefault="00B75C85" w:rsidP="00B75C85">
      <w:pPr>
        <w:autoSpaceDE w:val="0"/>
        <w:autoSpaceDN w:val="0"/>
        <w:adjustRightInd w:val="0"/>
        <w:spacing w:line="276" w:lineRule="auto"/>
        <w:jc w:val="both"/>
        <w:rPr>
          <w:rFonts w:ascii="Arial" w:eastAsiaTheme="minorHAnsi" w:hAnsi="Arial" w:cs="Arial"/>
          <w:lang w:val="es-CO"/>
        </w:rPr>
      </w:pPr>
    </w:p>
    <w:p w:rsidR="00B75C85" w:rsidRPr="00F46004" w:rsidRDefault="00B75C85" w:rsidP="00B75C85">
      <w:pPr>
        <w:autoSpaceDE w:val="0"/>
        <w:autoSpaceDN w:val="0"/>
        <w:adjustRightInd w:val="0"/>
        <w:spacing w:line="276" w:lineRule="auto"/>
        <w:jc w:val="both"/>
        <w:rPr>
          <w:rFonts w:ascii="Arial" w:eastAsiaTheme="minorHAnsi" w:hAnsi="Arial" w:cs="Arial"/>
          <w:lang w:val="es-CO"/>
        </w:rPr>
      </w:pPr>
      <w:r w:rsidRPr="00F46004">
        <w:rPr>
          <w:rFonts w:ascii="Arial" w:eastAsiaTheme="minorHAnsi" w:hAnsi="Arial" w:cs="Arial"/>
          <w:lang w:val="es-CO"/>
        </w:rPr>
        <w:t xml:space="preserve">Los niveles de desempleo en la población víctima del desplazamiento atendida por la Estrategia </w:t>
      </w:r>
      <w:r>
        <w:rPr>
          <w:rFonts w:ascii="Arial" w:eastAsiaTheme="minorHAnsi" w:hAnsi="Arial" w:cs="Arial"/>
          <w:lang w:val="es-CO"/>
        </w:rPr>
        <w:t>UNIDOS</w:t>
      </w:r>
      <w:r w:rsidRPr="00F46004">
        <w:rPr>
          <w:rFonts w:ascii="Arial" w:eastAsiaTheme="minorHAnsi" w:hAnsi="Arial" w:cs="Arial"/>
          <w:lang w:val="es-CO"/>
        </w:rPr>
        <w:t xml:space="preserve"> </w:t>
      </w:r>
      <w:r w:rsidR="00482FA9" w:rsidRPr="00F46004">
        <w:rPr>
          <w:rFonts w:ascii="Arial" w:eastAsiaTheme="minorHAnsi" w:hAnsi="Arial" w:cs="Arial"/>
          <w:lang w:val="es-CO"/>
        </w:rPr>
        <w:t>son</w:t>
      </w:r>
      <w:r w:rsidRPr="00F46004">
        <w:rPr>
          <w:rFonts w:ascii="Arial" w:eastAsiaTheme="minorHAnsi" w:hAnsi="Arial" w:cs="Arial"/>
          <w:lang w:val="es-CO"/>
        </w:rPr>
        <w:t xml:space="preserve"> igualmente </w:t>
      </w:r>
      <w:r w:rsidR="00482FA9" w:rsidRPr="00F46004">
        <w:rPr>
          <w:rFonts w:ascii="Arial" w:eastAsiaTheme="minorHAnsi" w:hAnsi="Arial" w:cs="Arial"/>
          <w:lang w:val="es-CO"/>
        </w:rPr>
        <w:t>preocupantes</w:t>
      </w:r>
      <w:r w:rsidRPr="00F46004">
        <w:rPr>
          <w:rFonts w:ascii="Arial" w:eastAsiaTheme="minorHAnsi" w:hAnsi="Arial" w:cs="Arial"/>
          <w:lang w:val="es-CO"/>
        </w:rPr>
        <w:t xml:space="preserve">. De 20.510 personas económicamente </w:t>
      </w:r>
      <w:proofErr w:type="gramStart"/>
      <w:r w:rsidRPr="00F46004">
        <w:rPr>
          <w:rFonts w:ascii="Arial" w:eastAsiaTheme="minorHAnsi" w:hAnsi="Arial" w:cs="Arial"/>
          <w:lang w:val="es-CO"/>
        </w:rPr>
        <w:t>activas</w:t>
      </w:r>
      <w:proofErr w:type="gramEnd"/>
      <w:r w:rsidRPr="00F46004">
        <w:rPr>
          <w:rFonts w:ascii="Arial" w:eastAsiaTheme="minorHAnsi" w:hAnsi="Arial" w:cs="Arial"/>
          <w:lang w:val="es-CO"/>
        </w:rPr>
        <w:t>, el 32% se encuentra desempleada y el 68% restante se encuentra ocupada en oficios de baja calidad (trabajos por cuenta propia, jornaleros, empleados domésticos, trabajadores en su propia finca o aparcería).</w:t>
      </w:r>
    </w:p>
    <w:p w:rsidR="00B75C85" w:rsidRPr="0065647E" w:rsidRDefault="00B75C85" w:rsidP="00B75C85">
      <w:pPr>
        <w:pStyle w:val="Sinespaciado1"/>
        <w:spacing w:before="240"/>
        <w:jc w:val="both"/>
        <w:rPr>
          <w:rFonts w:ascii="Arial" w:hAnsi="Arial" w:cs="Arial"/>
          <w:szCs w:val="22"/>
        </w:rPr>
      </w:pPr>
      <w:r>
        <w:rPr>
          <w:rFonts w:ascii="Arial" w:hAnsi="Arial" w:cs="Arial"/>
          <w:szCs w:val="22"/>
        </w:rPr>
        <w:t>Para finalizar, es posible realizar una caracterización más resumida de l</w:t>
      </w:r>
      <w:r w:rsidRPr="00C42CF8">
        <w:rPr>
          <w:rFonts w:ascii="Arial" w:hAnsi="Arial" w:cs="Arial"/>
          <w:szCs w:val="22"/>
        </w:rPr>
        <w:t xml:space="preserve">a población que forma parte de la </w:t>
      </w:r>
      <w:r w:rsidRPr="00DC70DA">
        <w:rPr>
          <w:rFonts w:ascii="Arial" w:hAnsi="Arial" w:cs="Arial"/>
          <w:szCs w:val="22"/>
        </w:rPr>
        <w:t>Red UNIDOS</w:t>
      </w:r>
      <w:r w:rsidRPr="00C42CF8">
        <w:rPr>
          <w:rFonts w:ascii="Arial" w:hAnsi="Arial" w:cs="Arial"/>
          <w:szCs w:val="22"/>
        </w:rPr>
        <w:t xml:space="preserve"> según algunas variables clave del mercado laboral, tal y como </w:t>
      </w:r>
      <w:r w:rsidRPr="0065647E">
        <w:rPr>
          <w:rFonts w:ascii="Arial" w:hAnsi="Arial" w:cs="Arial"/>
          <w:szCs w:val="22"/>
        </w:rPr>
        <w:t>se presentan en la tabla siguiente.</w:t>
      </w:r>
    </w:p>
    <w:p w:rsidR="00B75C85" w:rsidRPr="00F57C80" w:rsidRDefault="00B75C85" w:rsidP="00B75C85">
      <w:pPr>
        <w:pStyle w:val="Epgrafe"/>
        <w:jc w:val="center"/>
        <w:rPr>
          <w:rFonts w:ascii="Arial" w:hAnsi="Arial" w:cs="Arial"/>
          <w:color w:val="auto"/>
          <w:sz w:val="22"/>
          <w:szCs w:val="22"/>
        </w:rPr>
      </w:pPr>
      <w:bookmarkStart w:id="96" w:name="_Toc386451949"/>
      <w:bookmarkStart w:id="97" w:name="_Toc387665269"/>
      <w:bookmarkStart w:id="98" w:name="_Toc385779553"/>
      <w:bookmarkStart w:id="99" w:name="_Toc385844003"/>
      <w:bookmarkStart w:id="100" w:name="_Toc389667021"/>
      <w:r w:rsidRPr="000E62F2">
        <w:rPr>
          <w:rFonts w:ascii="Arial" w:hAnsi="Arial" w:cs="Arial"/>
          <w:color w:val="auto"/>
          <w:sz w:val="22"/>
          <w:szCs w:val="22"/>
        </w:rPr>
        <w:t xml:space="preserve">Tabla </w:t>
      </w:r>
      <w:r w:rsidRPr="000E62F2">
        <w:rPr>
          <w:rFonts w:ascii="Arial" w:hAnsi="Arial" w:cs="Arial"/>
          <w:color w:val="auto"/>
          <w:sz w:val="22"/>
          <w:szCs w:val="22"/>
        </w:rPr>
        <w:fldChar w:fldCharType="begin"/>
      </w:r>
      <w:r w:rsidRPr="000E62F2">
        <w:rPr>
          <w:rFonts w:ascii="Arial" w:hAnsi="Arial" w:cs="Arial"/>
          <w:color w:val="auto"/>
          <w:sz w:val="22"/>
          <w:szCs w:val="22"/>
        </w:rPr>
        <w:instrText xml:space="preserve"> SEQ Tabla \* ARABIC </w:instrText>
      </w:r>
      <w:r w:rsidRPr="000E62F2">
        <w:rPr>
          <w:rFonts w:ascii="Arial" w:hAnsi="Arial" w:cs="Arial"/>
          <w:color w:val="auto"/>
          <w:sz w:val="22"/>
          <w:szCs w:val="22"/>
        </w:rPr>
        <w:fldChar w:fldCharType="separate"/>
      </w:r>
      <w:r w:rsidR="00D9744C" w:rsidRPr="000E62F2">
        <w:rPr>
          <w:rFonts w:ascii="Arial" w:hAnsi="Arial" w:cs="Arial"/>
          <w:noProof/>
          <w:color w:val="auto"/>
          <w:sz w:val="22"/>
          <w:szCs w:val="22"/>
        </w:rPr>
        <w:t>8</w:t>
      </w:r>
      <w:r w:rsidRPr="000E62F2">
        <w:rPr>
          <w:rFonts w:ascii="Arial" w:hAnsi="Arial" w:cs="Arial"/>
          <w:color w:val="auto"/>
          <w:sz w:val="22"/>
          <w:szCs w:val="22"/>
        </w:rPr>
        <w:fldChar w:fldCharType="end"/>
      </w:r>
      <w:r w:rsidRPr="000E62F2">
        <w:rPr>
          <w:rFonts w:ascii="Arial" w:hAnsi="Arial" w:cs="Arial"/>
          <w:color w:val="auto"/>
          <w:sz w:val="22"/>
          <w:szCs w:val="22"/>
        </w:rPr>
        <w:t>.  Indicadores</w:t>
      </w:r>
      <w:r w:rsidRPr="00F57C80">
        <w:rPr>
          <w:rFonts w:ascii="Arial" w:hAnsi="Arial" w:cs="Arial"/>
          <w:color w:val="auto"/>
          <w:sz w:val="22"/>
          <w:szCs w:val="22"/>
        </w:rPr>
        <w:t xml:space="preserve"> del mercado laboral para la población desplazada por violencia y en condición de extrema pobreza en el departamento </w:t>
      </w:r>
      <w:bookmarkEnd w:id="96"/>
      <w:bookmarkEnd w:id="97"/>
      <w:r w:rsidRPr="00F57C80">
        <w:rPr>
          <w:rFonts w:ascii="Arial" w:hAnsi="Arial" w:cs="Arial"/>
          <w:color w:val="auto"/>
          <w:sz w:val="22"/>
          <w:szCs w:val="22"/>
        </w:rPr>
        <w:t>de Bolívar</w:t>
      </w:r>
      <w:bookmarkEnd w:id="100"/>
      <w:r w:rsidRPr="00F57C80">
        <w:rPr>
          <w:rFonts w:ascii="Arial" w:hAnsi="Arial" w:cs="Arial"/>
          <w:color w:val="auto"/>
          <w:sz w:val="22"/>
          <w:szCs w:val="22"/>
        </w:rPr>
        <w:t xml:space="preserve"> </w:t>
      </w:r>
      <w:bookmarkEnd w:id="98"/>
      <w:bookmarkEnd w:id="99"/>
    </w:p>
    <w:tbl>
      <w:tblPr>
        <w:tblW w:w="0" w:type="auto"/>
        <w:tblInd w:w="55" w:type="dxa"/>
        <w:tblCellMar>
          <w:left w:w="70" w:type="dxa"/>
          <w:right w:w="70" w:type="dxa"/>
        </w:tblCellMar>
        <w:tblLook w:val="04A0" w:firstRow="1" w:lastRow="0" w:firstColumn="1" w:lastColumn="0" w:noHBand="0" w:noVBand="1"/>
      </w:tblPr>
      <w:tblGrid>
        <w:gridCol w:w="3972"/>
        <w:gridCol w:w="1529"/>
        <w:gridCol w:w="1561"/>
        <w:gridCol w:w="1861"/>
      </w:tblGrid>
      <w:tr w:rsidR="00B75C85" w:rsidRPr="00885106" w:rsidTr="00212C5E">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eastAsia="Times New Roman"/>
                <w:b/>
                <w:bCs/>
                <w:color w:val="000000"/>
                <w:lang w:val="es-CO" w:eastAsia="es-CO"/>
              </w:rPr>
            </w:pPr>
            <w:r>
              <w:rPr>
                <w:rFonts w:eastAsia="Times New Roman"/>
                <w:b/>
                <w:bCs/>
                <w:color w:val="000000"/>
                <w:lang w:val="es-CO" w:eastAsia="es-CO"/>
              </w:rPr>
              <w:t>Indicadores población Red</w:t>
            </w:r>
            <w:r w:rsidRPr="00885106">
              <w:rPr>
                <w:rFonts w:eastAsia="Times New Roman"/>
                <w:b/>
                <w:bCs/>
                <w:color w:val="000000"/>
                <w:lang w:val="es-CO" w:eastAsia="es-CO"/>
              </w:rPr>
              <w:t xml:space="preserve"> UNIDOS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ascii="Arial" w:eastAsia="Times New Roman" w:hAnsi="Arial" w:cs="Arial"/>
                <w:b/>
                <w:bCs/>
                <w:color w:val="000000"/>
                <w:sz w:val="18"/>
                <w:szCs w:val="18"/>
                <w:lang w:val="es-CO" w:eastAsia="es-CO"/>
              </w:rPr>
            </w:pPr>
            <w:r w:rsidRPr="00885106">
              <w:rPr>
                <w:rFonts w:ascii="Arial" w:eastAsia="Times New Roman" w:hAnsi="Arial" w:cs="Arial"/>
                <w:b/>
                <w:bCs/>
                <w:color w:val="000000"/>
                <w:sz w:val="18"/>
                <w:szCs w:val="18"/>
                <w:lang w:val="es-CO" w:eastAsia="es-CO"/>
              </w:rPr>
              <w:t xml:space="preserve">Población total unidos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ascii="Arial" w:eastAsia="Times New Roman" w:hAnsi="Arial" w:cs="Arial"/>
                <w:b/>
                <w:bCs/>
                <w:color w:val="000000"/>
                <w:sz w:val="18"/>
                <w:szCs w:val="18"/>
                <w:lang w:val="es-CO" w:eastAsia="es-CO"/>
              </w:rPr>
            </w:pPr>
            <w:r w:rsidRPr="00885106">
              <w:rPr>
                <w:rFonts w:ascii="Arial" w:eastAsia="Times New Roman" w:hAnsi="Arial" w:cs="Arial"/>
                <w:b/>
                <w:bCs/>
                <w:color w:val="000000"/>
                <w:sz w:val="18"/>
                <w:szCs w:val="18"/>
                <w:lang w:val="es-CO" w:eastAsia="es-CO"/>
              </w:rPr>
              <w:t>Población desplazada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ascii="Arial" w:eastAsia="Times New Roman" w:hAnsi="Arial" w:cs="Arial"/>
                <w:b/>
                <w:bCs/>
                <w:color w:val="000000"/>
                <w:sz w:val="18"/>
                <w:szCs w:val="18"/>
                <w:lang w:val="es-CO" w:eastAsia="es-CO"/>
              </w:rPr>
            </w:pPr>
            <w:r w:rsidRPr="00885106">
              <w:rPr>
                <w:rFonts w:ascii="Arial" w:eastAsia="Times New Roman" w:hAnsi="Arial" w:cs="Arial"/>
                <w:b/>
                <w:bCs/>
                <w:color w:val="000000"/>
                <w:sz w:val="18"/>
                <w:szCs w:val="18"/>
                <w:lang w:val="es-CO" w:eastAsia="es-CO"/>
              </w:rPr>
              <w:t>Población en pobreza extrema</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TGP</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59.7</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59.8</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TO</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38.1</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40.3</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37.6</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TD</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36.1</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31.6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37.1</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 Población ocupada Independientes</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59.9</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59.7</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 Población desocupada femenina</w:t>
            </w:r>
          </w:p>
        </w:tc>
        <w:tc>
          <w:tcPr>
            <w:tcW w:w="0" w:type="auto"/>
            <w:tcBorders>
              <w:top w:val="nil"/>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54.8</w:t>
            </w:r>
          </w:p>
        </w:tc>
        <w:tc>
          <w:tcPr>
            <w:tcW w:w="0" w:type="auto"/>
            <w:tcBorders>
              <w:top w:val="nil"/>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56.0</w:t>
            </w:r>
          </w:p>
        </w:tc>
        <w:tc>
          <w:tcPr>
            <w:tcW w:w="0" w:type="auto"/>
            <w:tcBorders>
              <w:top w:val="nil"/>
              <w:left w:val="nil"/>
              <w:bottom w:val="single" w:sz="4" w:space="0" w:color="auto"/>
              <w:right w:val="single" w:sz="4" w:space="0" w:color="auto"/>
            </w:tcBorders>
            <w:shd w:val="clear" w:color="000000" w:fill="FFFFFF"/>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54.5</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 Porcentaje de población inactiva femenina</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67.6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69.7</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67.2</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Obrero o empleado de empresa </w:t>
            </w:r>
            <w:r w:rsidRPr="00885106">
              <w:rPr>
                <w:rFonts w:ascii="Arial" w:eastAsia="Times New Roman" w:hAnsi="Arial" w:cs="Arial"/>
                <w:b/>
                <w:bCs/>
                <w:color w:val="000000"/>
                <w:sz w:val="20"/>
                <w:szCs w:val="20"/>
                <w:lang w:val="es-CO" w:eastAsia="es-CO"/>
              </w:rPr>
              <w:lastRenderedPageBreak/>
              <w:t>particular</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lastRenderedPageBreak/>
              <w:t>16.0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11.1</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17.2</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lastRenderedPageBreak/>
              <w:t>% Obrero o empleado del Gobierno</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2.2</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2.3</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Jornalero o Peón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11.8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17.6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10.5</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Empleado Doméstico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10.2</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9.8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10.3</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Profesional Independiente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0.1</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0.1</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%Trabajador independiente o por cuenta propia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48.8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47.3</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49.2</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Patrón o empleador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0.8</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Trabajador de su propia finca o de finca en arriendo o aparcería</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6.1</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4.5</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xml:space="preserve">% Trabajador familiar sin remuneración </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4.3</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3.9</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75C85" w:rsidRPr="00885106" w:rsidRDefault="00B75C85" w:rsidP="000145B6">
            <w:pPr>
              <w:rPr>
                <w:rFonts w:ascii="Arial" w:eastAsia="Times New Roman" w:hAnsi="Arial" w:cs="Arial"/>
                <w:b/>
                <w:bCs/>
                <w:color w:val="000000"/>
                <w:sz w:val="20"/>
                <w:szCs w:val="20"/>
                <w:lang w:val="es-CO" w:eastAsia="es-CO"/>
              </w:rPr>
            </w:pPr>
            <w:r w:rsidRPr="00885106">
              <w:rPr>
                <w:rFonts w:ascii="Arial" w:eastAsia="Times New Roman" w:hAnsi="Arial" w:cs="Arial"/>
                <w:b/>
                <w:bCs/>
                <w:color w:val="000000"/>
                <w:sz w:val="20"/>
                <w:szCs w:val="20"/>
                <w:lang w:val="es-CO" w:eastAsia="es-CO"/>
              </w:rPr>
              <w:t>% Ayudante sin remuneración</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1.3</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1.5</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1.3</w:t>
            </w:r>
          </w:p>
        </w:tc>
      </w:tr>
      <w:tr w:rsidR="00B75C85" w:rsidRPr="00885106" w:rsidTr="00212C5E">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75C85" w:rsidRPr="00885106" w:rsidRDefault="00B75C85" w:rsidP="000145B6">
            <w:pPr>
              <w:rPr>
                <w:rFonts w:eastAsia="Times New Roman"/>
                <w:b/>
                <w:bCs/>
                <w:color w:val="000000"/>
                <w:lang w:val="es-CO" w:eastAsia="es-CO"/>
              </w:rPr>
            </w:pPr>
            <w:r w:rsidRPr="00885106">
              <w:rPr>
                <w:rFonts w:eastAsia="Times New Roman"/>
                <w:b/>
                <w:bCs/>
                <w:color w:val="000000"/>
                <w:lang w:val="es-CO" w:eastAsia="es-CO"/>
              </w:rPr>
              <w:t>Total Ocupados</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885106" w:rsidRDefault="00B75C85" w:rsidP="00212C5E">
            <w:pPr>
              <w:jc w:val="center"/>
              <w:rPr>
                <w:rFonts w:eastAsia="Times New Roman"/>
                <w:color w:val="000000"/>
                <w:lang w:val="es-CO" w:eastAsia="es-CO"/>
              </w:rPr>
            </w:pPr>
            <w:r w:rsidRPr="00885106">
              <w:rPr>
                <w:rFonts w:eastAsia="Times New Roman"/>
                <w:color w:val="000000"/>
                <w:lang w:val="es-CO" w:eastAsia="es-CO"/>
              </w:rPr>
              <w:t>100</w:t>
            </w:r>
          </w:p>
        </w:tc>
      </w:tr>
    </w:tbl>
    <w:p w:rsidR="00B75C85" w:rsidRPr="00DE1C32" w:rsidRDefault="00B75C85" w:rsidP="00B75C85">
      <w:pPr>
        <w:pStyle w:val="BodyText21"/>
        <w:jc w:val="center"/>
        <w:rPr>
          <w:color w:val="000000"/>
          <w:sz w:val="18"/>
          <w:szCs w:val="18"/>
        </w:rPr>
      </w:pPr>
      <w:r w:rsidRPr="00DE1C32">
        <w:rPr>
          <w:color w:val="000000"/>
          <w:sz w:val="18"/>
          <w:szCs w:val="18"/>
        </w:rPr>
        <w:t xml:space="preserve">Fuente: ANSPE y </w:t>
      </w:r>
      <w:r w:rsidRPr="00DE1C32">
        <w:rPr>
          <w:rFonts w:cs="Arial"/>
          <w:color w:val="000000"/>
          <w:sz w:val="18"/>
          <w:szCs w:val="18"/>
        </w:rPr>
        <w:t>DNP, Línea base de Red Unidos, 2012</w:t>
      </w:r>
    </w:p>
    <w:p w:rsidR="00B75C85" w:rsidRPr="00770E5B" w:rsidRDefault="00B75C85" w:rsidP="00B75C85">
      <w:pPr>
        <w:pStyle w:val="Sinespaciado1"/>
        <w:jc w:val="both"/>
        <w:rPr>
          <w:rFonts w:ascii="Arial" w:hAnsi="Arial" w:cs="Arial"/>
          <w:szCs w:val="22"/>
          <w:lang w:val="es-ES"/>
        </w:rPr>
      </w:pPr>
    </w:p>
    <w:p w:rsidR="00B75C85" w:rsidRDefault="00B75C85" w:rsidP="00B75C85">
      <w:pPr>
        <w:jc w:val="both"/>
        <w:rPr>
          <w:rFonts w:ascii="Arial" w:hAnsi="Arial" w:cs="Arial"/>
        </w:rPr>
      </w:pPr>
      <w:r w:rsidRPr="00C42CF8">
        <w:rPr>
          <w:rFonts w:ascii="Arial" w:hAnsi="Arial" w:cs="Arial"/>
        </w:rPr>
        <w:t>Analizando las distintas poblaciones, desplazados, personas en condición de pobreza ex</w:t>
      </w:r>
      <w:r>
        <w:rPr>
          <w:rFonts w:ascii="Arial" w:hAnsi="Arial" w:cs="Arial"/>
        </w:rPr>
        <w:t>trema, y el total de la Red</w:t>
      </w:r>
      <w:r w:rsidRPr="00C42CF8">
        <w:rPr>
          <w:rFonts w:ascii="Arial" w:hAnsi="Arial" w:cs="Arial"/>
        </w:rPr>
        <w:t xml:space="preserve"> UNIDOS, se observan algunas diferencias</w:t>
      </w:r>
      <w:r>
        <w:rPr>
          <w:rFonts w:ascii="Arial" w:hAnsi="Arial" w:cs="Arial"/>
        </w:rPr>
        <w:t xml:space="preserve"> que se describen a continuación:</w:t>
      </w:r>
    </w:p>
    <w:p w:rsidR="006E1011" w:rsidRDefault="006E1011" w:rsidP="00B75C85">
      <w:pPr>
        <w:jc w:val="both"/>
        <w:rPr>
          <w:rFonts w:ascii="Arial" w:hAnsi="Arial" w:cs="Arial"/>
        </w:rPr>
      </w:pPr>
    </w:p>
    <w:p w:rsidR="00B75C85" w:rsidRPr="00061BF9" w:rsidRDefault="00B75C85" w:rsidP="00DC6E74">
      <w:pPr>
        <w:pStyle w:val="Prrafodelista"/>
        <w:numPr>
          <w:ilvl w:val="0"/>
          <w:numId w:val="26"/>
        </w:numPr>
        <w:spacing w:after="200" w:line="276" w:lineRule="auto"/>
        <w:jc w:val="both"/>
        <w:rPr>
          <w:rFonts w:ascii="Arial" w:hAnsi="Arial" w:cs="Arial"/>
        </w:rPr>
      </w:pPr>
      <w:r w:rsidRPr="00061BF9">
        <w:rPr>
          <w:rFonts w:ascii="Arial" w:hAnsi="Arial" w:cs="Arial"/>
        </w:rPr>
        <w:t xml:space="preserve">La TGP es más </w:t>
      </w:r>
      <w:r>
        <w:rPr>
          <w:rFonts w:ascii="Arial" w:hAnsi="Arial" w:cs="Arial"/>
        </w:rPr>
        <w:t>alta</w:t>
      </w:r>
      <w:r w:rsidRPr="00061BF9">
        <w:rPr>
          <w:rFonts w:ascii="Arial" w:hAnsi="Arial" w:cs="Arial"/>
        </w:rPr>
        <w:t xml:space="preserve"> entre la población </w:t>
      </w:r>
      <w:r>
        <w:rPr>
          <w:rFonts w:ascii="Arial" w:hAnsi="Arial" w:cs="Arial"/>
        </w:rPr>
        <w:t>en situación de pobreza</w:t>
      </w:r>
      <w:r w:rsidRPr="00061BF9">
        <w:rPr>
          <w:rFonts w:ascii="Arial" w:hAnsi="Arial" w:cs="Arial"/>
        </w:rPr>
        <w:t xml:space="preserve"> que entre los </w:t>
      </w:r>
      <w:r>
        <w:rPr>
          <w:rFonts w:ascii="Arial" w:hAnsi="Arial" w:cs="Arial"/>
        </w:rPr>
        <w:t>desplazados</w:t>
      </w:r>
      <w:r w:rsidRPr="00061BF9">
        <w:rPr>
          <w:rFonts w:ascii="Arial" w:hAnsi="Arial" w:cs="Arial"/>
        </w:rPr>
        <w:t>, pero estos últimos presentan un porcentaje más alto de tasa de desempleo</w:t>
      </w:r>
      <w:r>
        <w:rPr>
          <w:rFonts w:ascii="Arial" w:hAnsi="Arial" w:cs="Arial"/>
        </w:rPr>
        <w:t>.</w:t>
      </w:r>
    </w:p>
    <w:p w:rsidR="00B75C85" w:rsidRPr="00061BF9" w:rsidRDefault="00B75C85" w:rsidP="00DC6E74">
      <w:pPr>
        <w:pStyle w:val="Prrafodelista"/>
        <w:numPr>
          <w:ilvl w:val="0"/>
          <w:numId w:val="26"/>
        </w:numPr>
        <w:spacing w:after="200" w:line="276" w:lineRule="auto"/>
        <w:jc w:val="both"/>
        <w:rPr>
          <w:rFonts w:ascii="Arial" w:hAnsi="Arial" w:cs="Arial"/>
        </w:rPr>
      </w:pPr>
      <w:r>
        <w:rPr>
          <w:rFonts w:ascii="Arial" w:hAnsi="Arial" w:cs="Arial"/>
        </w:rPr>
        <w:t>Entre la población Red</w:t>
      </w:r>
      <w:r w:rsidRPr="00061BF9">
        <w:rPr>
          <w:rFonts w:ascii="Arial" w:hAnsi="Arial" w:cs="Arial"/>
        </w:rPr>
        <w:t xml:space="preserve"> UNIDOS, el porcentaje </w:t>
      </w:r>
      <w:r>
        <w:rPr>
          <w:rFonts w:ascii="Arial" w:hAnsi="Arial" w:cs="Arial"/>
        </w:rPr>
        <w:t xml:space="preserve">de </w:t>
      </w:r>
      <w:r w:rsidRPr="00061BF9">
        <w:rPr>
          <w:rFonts w:ascii="Arial" w:hAnsi="Arial" w:cs="Arial"/>
        </w:rPr>
        <w:t>independiente</w:t>
      </w:r>
      <w:r>
        <w:rPr>
          <w:rFonts w:ascii="Arial" w:hAnsi="Arial" w:cs="Arial"/>
        </w:rPr>
        <w:t>s</w:t>
      </w:r>
      <w:r w:rsidRPr="00061BF9">
        <w:rPr>
          <w:rFonts w:ascii="Arial" w:hAnsi="Arial" w:cs="Arial"/>
        </w:rPr>
        <w:t xml:space="preserve"> es </w:t>
      </w:r>
      <w:r>
        <w:rPr>
          <w:rFonts w:ascii="Arial" w:hAnsi="Arial" w:cs="Arial"/>
        </w:rPr>
        <w:t xml:space="preserve">ligeramente </w:t>
      </w:r>
      <w:r w:rsidRPr="00061BF9">
        <w:rPr>
          <w:rFonts w:ascii="Arial" w:hAnsi="Arial" w:cs="Arial"/>
        </w:rPr>
        <w:t xml:space="preserve">más alto entre la población </w:t>
      </w:r>
      <w:r>
        <w:rPr>
          <w:rFonts w:ascii="Arial" w:hAnsi="Arial" w:cs="Arial"/>
        </w:rPr>
        <w:t>en condición de desplazamiento</w:t>
      </w:r>
      <w:r w:rsidRPr="00061BF9">
        <w:rPr>
          <w:rFonts w:ascii="Arial" w:hAnsi="Arial" w:cs="Arial"/>
        </w:rPr>
        <w:t xml:space="preserve"> que entre la población </w:t>
      </w:r>
      <w:r>
        <w:rPr>
          <w:rFonts w:ascii="Arial" w:hAnsi="Arial" w:cs="Arial"/>
        </w:rPr>
        <w:t>pobre</w:t>
      </w:r>
      <w:r w:rsidRPr="00061BF9">
        <w:rPr>
          <w:rFonts w:ascii="Arial" w:hAnsi="Arial" w:cs="Arial"/>
        </w:rPr>
        <w:t>. En ambas, la población desempleada y la población inactiva tienen más altos porcentajes de mujeres que de hombres, sobre todo en la i</w:t>
      </w:r>
      <w:r>
        <w:rPr>
          <w:rFonts w:ascii="Arial" w:hAnsi="Arial" w:cs="Arial"/>
        </w:rPr>
        <w:t>nactiva y desplazada donde casi el 69,7</w:t>
      </w:r>
      <w:r w:rsidRPr="00061BF9">
        <w:rPr>
          <w:rFonts w:ascii="Arial" w:hAnsi="Arial" w:cs="Arial"/>
        </w:rPr>
        <w:t>% está compuesto por mujeres.</w:t>
      </w:r>
    </w:p>
    <w:p w:rsidR="00B75C85" w:rsidRDefault="00B75C85" w:rsidP="00DC6E74">
      <w:pPr>
        <w:pStyle w:val="Prrafodelista"/>
        <w:numPr>
          <w:ilvl w:val="0"/>
          <w:numId w:val="26"/>
        </w:numPr>
        <w:spacing w:after="200" w:line="276" w:lineRule="auto"/>
        <w:jc w:val="both"/>
        <w:rPr>
          <w:rFonts w:ascii="Arial" w:hAnsi="Arial" w:cs="Arial"/>
        </w:rPr>
      </w:pPr>
      <w:r w:rsidRPr="00061BF9">
        <w:rPr>
          <w:rFonts w:ascii="Arial" w:hAnsi="Arial" w:cs="Arial"/>
        </w:rPr>
        <w:t xml:space="preserve">Entre la población ocupada, el </w:t>
      </w:r>
      <w:r>
        <w:rPr>
          <w:rFonts w:ascii="Arial" w:hAnsi="Arial" w:cs="Arial"/>
        </w:rPr>
        <w:t>48,8%</w:t>
      </w:r>
      <w:r w:rsidRPr="00061BF9">
        <w:rPr>
          <w:rFonts w:ascii="Arial" w:hAnsi="Arial" w:cs="Arial"/>
        </w:rPr>
        <w:t xml:space="preserve"> se desempeña como trabajador independiente o cuenta propia. Este porcentaje es mayor entre</w:t>
      </w:r>
      <w:r>
        <w:rPr>
          <w:rFonts w:ascii="Arial" w:hAnsi="Arial" w:cs="Arial"/>
        </w:rPr>
        <w:t xml:space="preserve"> la población pobre (casi 49,2</w:t>
      </w:r>
      <w:r w:rsidRPr="00061BF9">
        <w:rPr>
          <w:rFonts w:ascii="Arial" w:hAnsi="Arial" w:cs="Arial"/>
        </w:rPr>
        <w:t xml:space="preserve">%) que entre la población en situación de </w:t>
      </w:r>
      <w:r>
        <w:rPr>
          <w:rFonts w:ascii="Arial" w:hAnsi="Arial" w:cs="Arial"/>
        </w:rPr>
        <w:t>desplazamiento</w:t>
      </w:r>
      <w:r w:rsidRPr="00061BF9">
        <w:rPr>
          <w:rFonts w:ascii="Arial" w:hAnsi="Arial" w:cs="Arial"/>
        </w:rPr>
        <w:t xml:space="preserve"> (</w:t>
      </w:r>
      <w:r>
        <w:rPr>
          <w:rFonts w:ascii="Arial" w:hAnsi="Arial" w:cs="Arial"/>
        </w:rPr>
        <w:t>47,3</w:t>
      </w:r>
      <w:r w:rsidRPr="00061BF9">
        <w:rPr>
          <w:rFonts w:ascii="Arial" w:hAnsi="Arial" w:cs="Arial"/>
        </w:rPr>
        <w:t xml:space="preserve">%). </w:t>
      </w:r>
    </w:p>
    <w:p w:rsidR="00B75C85" w:rsidRPr="00DC70DA" w:rsidRDefault="00B75C85" w:rsidP="00DC6E74">
      <w:pPr>
        <w:pStyle w:val="Prrafodelista"/>
        <w:numPr>
          <w:ilvl w:val="0"/>
          <w:numId w:val="26"/>
        </w:numPr>
        <w:spacing w:after="200" w:line="276" w:lineRule="auto"/>
        <w:jc w:val="both"/>
        <w:rPr>
          <w:rFonts w:ascii="Arial" w:hAnsi="Arial" w:cs="Arial"/>
          <w:color w:val="0000FF"/>
        </w:rPr>
      </w:pPr>
      <w:r w:rsidRPr="00061BF9">
        <w:rPr>
          <w:rFonts w:ascii="Arial" w:hAnsi="Arial" w:cs="Arial"/>
        </w:rPr>
        <w:t xml:space="preserve">El porcentaje correspondiente a obreros o empleados de empresas particulares </w:t>
      </w:r>
      <w:r>
        <w:rPr>
          <w:rFonts w:ascii="Arial" w:hAnsi="Arial" w:cs="Arial"/>
        </w:rPr>
        <w:t>llega para el total de la población de Red UNIDOS a 16%</w:t>
      </w:r>
      <w:r w:rsidRPr="00061BF9">
        <w:rPr>
          <w:rFonts w:ascii="Arial" w:hAnsi="Arial" w:cs="Arial"/>
        </w:rPr>
        <w:t xml:space="preserve">, más alto entre la población </w:t>
      </w:r>
      <w:r>
        <w:rPr>
          <w:rFonts w:ascii="Arial" w:hAnsi="Arial" w:cs="Arial"/>
        </w:rPr>
        <w:t>pobre</w:t>
      </w:r>
      <w:r w:rsidRPr="00061BF9">
        <w:rPr>
          <w:rFonts w:ascii="Arial" w:hAnsi="Arial" w:cs="Arial"/>
        </w:rPr>
        <w:t xml:space="preserve"> </w:t>
      </w:r>
      <w:r>
        <w:rPr>
          <w:rFonts w:ascii="Arial" w:hAnsi="Arial" w:cs="Arial"/>
        </w:rPr>
        <w:t xml:space="preserve">(17,2%) </w:t>
      </w:r>
      <w:r w:rsidRPr="00061BF9">
        <w:rPr>
          <w:rFonts w:ascii="Arial" w:hAnsi="Arial" w:cs="Arial"/>
        </w:rPr>
        <w:t xml:space="preserve">que entre la población </w:t>
      </w:r>
      <w:r>
        <w:rPr>
          <w:rFonts w:ascii="Arial" w:hAnsi="Arial" w:cs="Arial"/>
        </w:rPr>
        <w:t>desplazada (11,1%).</w:t>
      </w:r>
      <w:bookmarkStart w:id="101" w:name="_Toc385778898"/>
      <w:bookmarkStart w:id="102" w:name="_Toc385778899"/>
      <w:bookmarkStart w:id="103" w:name="_Toc385778900"/>
      <w:bookmarkStart w:id="104" w:name="_Toc385779022"/>
      <w:bookmarkStart w:id="105" w:name="_Toc385779023"/>
      <w:bookmarkEnd w:id="101"/>
      <w:bookmarkEnd w:id="102"/>
      <w:bookmarkEnd w:id="103"/>
      <w:bookmarkEnd w:id="104"/>
      <w:bookmarkEnd w:id="105"/>
    </w:p>
    <w:p w:rsidR="00B75C85" w:rsidRDefault="00B75C85" w:rsidP="00B75C85">
      <w:pPr>
        <w:spacing w:after="200" w:line="276" w:lineRule="auto"/>
        <w:jc w:val="both"/>
        <w:rPr>
          <w:rFonts w:ascii="Arial" w:hAnsi="Arial" w:cs="Arial"/>
          <w:color w:val="0000FF"/>
        </w:rPr>
      </w:pPr>
    </w:p>
    <w:p w:rsidR="00B75C85" w:rsidRDefault="003062F0" w:rsidP="003062F0">
      <w:pPr>
        <w:pStyle w:val="Ttulo2"/>
        <w:spacing w:before="0" w:line="276" w:lineRule="auto"/>
        <w:rPr>
          <w:rFonts w:ascii="Arial" w:hAnsi="Arial" w:cs="Arial"/>
          <w:color w:val="C00000"/>
          <w:sz w:val="22"/>
          <w:szCs w:val="22"/>
        </w:rPr>
      </w:pPr>
      <w:bookmarkStart w:id="106" w:name="_Toc389666625"/>
      <w:r>
        <w:rPr>
          <w:rFonts w:ascii="Arial" w:hAnsi="Arial" w:cs="Arial"/>
          <w:color w:val="C00000"/>
          <w:sz w:val="22"/>
          <w:szCs w:val="22"/>
        </w:rPr>
        <w:t xml:space="preserve">3.4 </w:t>
      </w:r>
      <w:r w:rsidR="00B75C85" w:rsidRPr="00F57C80">
        <w:rPr>
          <w:rFonts w:ascii="Arial" w:hAnsi="Arial" w:cs="Arial"/>
          <w:color w:val="C00000"/>
          <w:sz w:val="22"/>
          <w:szCs w:val="22"/>
        </w:rPr>
        <w:t>Derechos laborales y conflictividad</w:t>
      </w:r>
      <w:bookmarkEnd w:id="106"/>
    </w:p>
    <w:p w:rsidR="00482FA9" w:rsidRPr="00482FA9" w:rsidRDefault="00482FA9" w:rsidP="00482FA9"/>
    <w:p w:rsidR="00B75C85" w:rsidRPr="00482FA9" w:rsidRDefault="006E1011" w:rsidP="00482FA9">
      <w:pPr>
        <w:jc w:val="both"/>
        <w:rPr>
          <w:rFonts w:ascii="Arial" w:hAnsi="Arial" w:cs="Arial"/>
        </w:rPr>
      </w:pPr>
      <w:r w:rsidRPr="00482FA9">
        <w:rPr>
          <w:rFonts w:ascii="Arial" w:hAnsi="Arial" w:cs="Arial"/>
        </w:rPr>
        <w:t xml:space="preserve">A continuación se describen algunas cifras relacionadas con la </w:t>
      </w:r>
      <w:r w:rsidR="007C555E" w:rsidRPr="00482FA9">
        <w:rPr>
          <w:rFonts w:ascii="Arial" w:hAnsi="Arial" w:cs="Arial"/>
        </w:rPr>
        <w:t xml:space="preserve">violación de las normas  </w:t>
      </w:r>
      <w:r w:rsidR="00482FA9">
        <w:rPr>
          <w:rFonts w:ascii="Arial" w:hAnsi="Arial" w:cs="Arial"/>
        </w:rPr>
        <w:t>l</w:t>
      </w:r>
      <w:r w:rsidR="007C555E" w:rsidRPr="00482FA9">
        <w:rPr>
          <w:rFonts w:ascii="Arial" w:hAnsi="Arial" w:cs="Arial"/>
        </w:rPr>
        <w:t xml:space="preserve">aborales y la </w:t>
      </w:r>
      <w:r w:rsidRPr="00482FA9">
        <w:rPr>
          <w:rFonts w:ascii="Arial" w:hAnsi="Arial" w:cs="Arial"/>
        </w:rPr>
        <w:t>participación de los niños y preadolescentes en el mercado laboral de Bolívar.</w:t>
      </w:r>
    </w:p>
    <w:p w:rsidR="007C555E" w:rsidRDefault="007C555E" w:rsidP="00B75C85"/>
    <w:p w:rsidR="007C555E" w:rsidRPr="000E62F2" w:rsidRDefault="007C555E" w:rsidP="000E62F2">
      <w:pPr>
        <w:rPr>
          <w:rFonts w:ascii="Arial" w:hAnsi="Arial" w:cs="Arial"/>
        </w:rPr>
      </w:pPr>
      <w:r w:rsidRPr="000E62F2">
        <w:rPr>
          <w:rFonts w:ascii="Arial" w:hAnsi="Arial" w:cs="Arial"/>
          <w:b/>
        </w:rPr>
        <w:t>Violación de normas laborales</w:t>
      </w:r>
    </w:p>
    <w:p w:rsidR="007C555E" w:rsidRDefault="007C555E" w:rsidP="007C555E"/>
    <w:p w:rsidR="007C555E" w:rsidRPr="00983C84" w:rsidRDefault="007C555E" w:rsidP="007C555E">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 xml:space="preserve">El Ministerio del Trabajo y sus Direcciones Territoriales vienen trabajando con las entidades del sector público y privado en actividades orientadas a la capacitación, acerca de la aplicación de la reglamentación laboral, conocimiento y apropiación de leyes y </w:t>
      </w:r>
      <w:r w:rsidRPr="00983C84">
        <w:rPr>
          <w:rFonts w:ascii="Arial" w:eastAsiaTheme="minorHAnsi" w:hAnsi="Arial" w:cs="Arial"/>
          <w:lang w:val="es-CO"/>
        </w:rPr>
        <w:lastRenderedPageBreak/>
        <w:t xml:space="preserve">decretos, entre otros temas. Igualmente, realiza actividades de vigilancia a empresas y procesos de concertación entre empleadores y empleados. </w:t>
      </w:r>
    </w:p>
    <w:p w:rsidR="007C555E" w:rsidRPr="00983C84" w:rsidRDefault="007C555E" w:rsidP="007C555E">
      <w:pPr>
        <w:autoSpaceDE w:val="0"/>
        <w:autoSpaceDN w:val="0"/>
        <w:adjustRightInd w:val="0"/>
        <w:spacing w:line="276" w:lineRule="auto"/>
        <w:jc w:val="both"/>
        <w:rPr>
          <w:rFonts w:ascii="Arial" w:eastAsiaTheme="minorHAnsi" w:hAnsi="Arial" w:cs="Arial"/>
          <w:lang w:val="es-CO"/>
        </w:rPr>
      </w:pPr>
    </w:p>
    <w:p w:rsidR="00482FA9" w:rsidRDefault="007C555E" w:rsidP="007C555E">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 xml:space="preserve">En Bolívar en el año 2012 fueron sancionadas varias empresas del sector portuario por valor de $385.356.000, por violación al Decreto 2025 de 2010 (intermediación laboral). Uno de los componentes del concepto de trabajo decente se refiere a la libertad que el trabajador tiene para asociarse y participar en diferentes espacios, a través de los sindicatos; sin embargo, en Colombia este derecho está limitado por el alto grado de inseguridad. </w:t>
      </w:r>
    </w:p>
    <w:p w:rsidR="00482FA9" w:rsidRDefault="00482FA9" w:rsidP="007C555E">
      <w:pPr>
        <w:autoSpaceDE w:val="0"/>
        <w:autoSpaceDN w:val="0"/>
        <w:adjustRightInd w:val="0"/>
        <w:spacing w:line="276" w:lineRule="auto"/>
        <w:jc w:val="both"/>
        <w:rPr>
          <w:rFonts w:ascii="Arial" w:eastAsiaTheme="minorHAnsi" w:hAnsi="Arial" w:cs="Arial"/>
          <w:lang w:val="es-CO"/>
        </w:rPr>
      </w:pPr>
    </w:p>
    <w:p w:rsidR="00482FA9" w:rsidRDefault="007C555E" w:rsidP="007C555E">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 xml:space="preserve">En Bolívar han sido registrados 133 casos de violencia contra personas afiliadas a organizaciones sindicales durante el periodo de 2002 - 2008, como casos de violaciones a la vida, libertad e integridad, en un contexto donde se constata de nuevo la afirmación de que Colombia continúa siendo el lugar más peligroso del mundo para el ejercicio sindical. </w:t>
      </w:r>
    </w:p>
    <w:p w:rsidR="00482FA9" w:rsidRDefault="00482FA9" w:rsidP="007C555E">
      <w:pPr>
        <w:autoSpaceDE w:val="0"/>
        <w:autoSpaceDN w:val="0"/>
        <w:adjustRightInd w:val="0"/>
        <w:spacing w:line="276" w:lineRule="auto"/>
        <w:jc w:val="both"/>
        <w:rPr>
          <w:rFonts w:ascii="Arial" w:eastAsiaTheme="minorHAnsi" w:hAnsi="Arial" w:cs="Arial"/>
          <w:lang w:val="es-CO"/>
        </w:rPr>
      </w:pPr>
    </w:p>
    <w:p w:rsidR="007C555E" w:rsidRDefault="007C555E" w:rsidP="007C555E">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El tipo de violaciones se refiere especialmente a amenazas (74), homicidios (31), y menos recurrente, pero no menos importante, están el allanamiento ilegal (3), la detención arbitraria (3), atentado con o sin lecciones (4), hostigamiento (8), secuestro (1), desaparición (1), desplazamiento forzado (7) y tortura (1). Una de las características de estos casos de violencia antisindical es el alto grado de impunidad e ineficiencia para agilizar las investigaciones para la identificación del presunto autor.</w:t>
      </w:r>
    </w:p>
    <w:p w:rsidR="007C555E" w:rsidRPr="000145B6" w:rsidRDefault="007C555E" w:rsidP="00B75C85">
      <w:pPr>
        <w:rPr>
          <w:lang w:val="es-CO"/>
        </w:rPr>
      </w:pPr>
    </w:p>
    <w:p w:rsidR="00B75C85" w:rsidRPr="000E62F2" w:rsidRDefault="00B75C85" w:rsidP="000E62F2">
      <w:pPr>
        <w:rPr>
          <w:rFonts w:ascii="Arial" w:hAnsi="Arial" w:cs="Arial"/>
        </w:rPr>
      </w:pPr>
      <w:r w:rsidRPr="000E62F2">
        <w:rPr>
          <w:rFonts w:ascii="Arial" w:hAnsi="Arial" w:cs="Arial"/>
          <w:b/>
        </w:rPr>
        <w:t>Trabajo infantil</w:t>
      </w:r>
    </w:p>
    <w:p w:rsidR="00B75C85" w:rsidRDefault="00B75C85" w:rsidP="00B75C85"/>
    <w:p w:rsidR="00B75C85" w:rsidRDefault="00B75C85" w:rsidP="003062F0">
      <w:pPr>
        <w:spacing w:line="276" w:lineRule="auto"/>
        <w:jc w:val="both"/>
        <w:rPr>
          <w:rFonts w:ascii="Arial" w:hAnsi="Arial" w:cs="Arial"/>
        </w:rPr>
      </w:pPr>
      <w:r w:rsidRPr="009B445E">
        <w:rPr>
          <w:rFonts w:ascii="Arial" w:hAnsi="Arial" w:cs="Arial"/>
        </w:rPr>
        <w:t xml:space="preserve">La temática del trabajo infantil para el departamento de </w:t>
      </w:r>
      <w:r>
        <w:rPr>
          <w:rFonts w:ascii="Arial" w:hAnsi="Arial" w:cs="Arial"/>
        </w:rPr>
        <w:t>Bolívar</w:t>
      </w:r>
      <w:r w:rsidRPr="009B445E">
        <w:rPr>
          <w:rFonts w:ascii="Arial" w:hAnsi="Arial" w:cs="Arial"/>
        </w:rPr>
        <w:t xml:space="preserve"> puede ser abordada desde dos tipos de fuentes estadísticas. La que proviene del DANE a partir del módulo especializados aplicado en 2012 que estudia el trabajo infantil en diversas formas y del que se dispone de información para las capitales departamentales. La tabla que se detalla a continuación presenta un resumen de indicadores directamente calculados con la información de la GEIH.</w:t>
      </w:r>
    </w:p>
    <w:p w:rsidR="00B75C85" w:rsidRPr="009B445E" w:rsidRDefault="00B75C85" w:rsidP="00B75C85">
      <w:pPr>
        <w:jc w:val="both"/>
        <w:rPr>
          <w:rFonts w:ascii="Arial" w:hAnsi="Arial" w:cs="Arial"/>
        </w:rPr>
      </w:pPr>
    </w:p>
    <w:p w:rsidR="00B75C85" w:rsidRPr="00F57C80" w:rsidRDefault="00B75C85" w:rsidP="00B75C85">
      <w:pPr>
        <w:pStyle w:val="Epgrafe"/>
        <w:jc w:val="center"/>
        <w:rPr>
          <w:rFonts w:ascii="Arial" w:hAnsi="Arial" w:cs="Arial"/>
          <w:color w:val="auto"/>
          <w:sz w:val="22"/>
          <w:szCs w:val="22"/>
        </w:rPr>
      </w:pPr>
      <w:bookmarkStart w:id="107" w:name="_Toc385804339"/>
      <w:bookmarkStart w:id="108" w:name="_Toc385844006"/>
      <w:bookmarkStart w:id="109" w:name="_Toc386451953"/>
      <w:bookmarkStart w:id="110" w:name="_Toc387665270"/>
      <w:bookmarkStart w:id="111" w:name="_Toc389667022"/>
      <w:r w:rsidRPr="000E62F2">
        <w:rPr>
          <w:rFonts w:ascii="Arial" w:hAnsi="Arial" w:cs="Arial"/>
          <w:color w:val="auto"/>
          <w:sz w:val="22"/>
          <w:szCs w:val="22"/>
        </w:rPr>
        <w:t xml:space="preserve">Tabla </w:t>
      </w:r>
      <w:r w:rsidRPr="000E62F2">
        <w:rPr>
          <w:rFonts w:ascii="Arial" w:hAnsi="Arial" w:cs="Arial"/>
          <w:color w:val="auto"/>
          <w:sz w:val="22"/>
          <w:szCs w:val="22"/>
        </w:rPr>
        <w:fldChar w:fldCharType="begin"/>
      </w:r>
      <w:r w:rsidRPr="000E62F2">
        <w:rPr>
          <w:rFonts w:ascii="Arial" w:hAnsi="Arial" w:cs="Arial"/>
          <w:color w:val="auto"/>
          <w:sz w:val="22"/>
          <w:szCs w:val="22"/>
        </w:rPr>
        <w:instrText xml:space="preserve"> SEQ Tabla \* ARABIC </w:instrText>
      </w:r>
      <w:r w:rsidRPr="000E62F2">
        <w:rPr>
          <w:rFonts w:ascii="Arial" w:hAnsi="Arial" w:cs="Arial"/>
          <w:color w:val="auto"/>
          <w:sz w:val="22"/>
          <w:szCs w:val="22"/>
        </w:rPr>
        <w:fldChar w:fldCharType="separate"/>
      </w:r>
      <w:r w:rsidR="00D9744C" w:rsidRPr="000E62F2">
        <w:rPr>
          <w:rFonts w:ascii="Arial" w:hAnsi="Arial" w:cs="Arial"/>
          <w:noProof/>
          <w:color w:val="auto"/>
          <w:sz w:val="22"/>
          <w:szCs w:val="22"/>
        </w:rPr>
        <w:t>9</w:t>
      </w:r>
      <w:r w:rsidRPr="000E62F2">
        <w:rPr>
          <w:rFonts w:ascii="Arial" w:hAnsi="Arial" w:cs="Arial"/>
          <w:color w:val="auto"/>
          <w:sz w:val="22"/>
          <w:szCs w:val="22"/>
        </w:rPr>
        <w:fldChar w:fldCharType="end"/>
      </w:r>
      <w:r w:rsidRPr="000E62F2">
        <w:rPr>
          <w:rFonts w:ascii="Arial" w:hAnsi="Arial" w:cs="Arial"/>
          <w:color w:val="auto"/>
          <w:sz w:val="22"/>
          <w:szCs w:val="22"/>
        </w:rPr>
        <w:t>.</w:t>
      </w:r>
      <w:r w:rsidRPr="00F57C80">
        <w:rPr>
          <w:rFonts w:ascii="Arial" w:hAnsi="Arial" w:cs="Arial"/>
          <w:color w:val="auto"/>
          <w:sz w:val="22"/>
          <w:szCs w:val="22"/>
        </w:rPr>
        <w:t xml:space="preserve"> Tasa de trabajo infantil (TTI) y tasa de trabajo infantil ampliada por oficios del hogar TTIA, cuarto trimestre de 2012</w:t>
      </w:r>
      <w:bookmarkEnd w:id="107"/>
      <w:bookmarkEnd w:id="108"/>
      <w:bookmarkEnd w:id="109"/>
      <w:bookmarkEnd w:id="110"/>
      <w:bookmarkEnd w:id="111"/>
    </w:p>
    <w:tbl>
      <w:tblPr>
        <w:tblW w:w="7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077"/>
        <w:gridCol w:w="1281"/>
        <w:gridCol w:w="915"/>
        <w:gridCol w:w="1972"/>
        <w:gridCol w:w="850"/>
      </w:tblGrid>
      <w:tr w:rsidR="00B75C85" w:rsidRPr="00F4232B" w:rsidTr="00212C5E">
        <w:trPr>
          <w:trHeight w:val="20"/>
          <w:jc w:val="center"/>
        </w:trPr>
        <w:tc>
          <w:tcPr>
            <w:tcW w:w="0" w:type="auto"/>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Dominio</w:t>
            </w:r>
          </w:p>
        </w:tc>
        <w:tc>
          <w:tcPr>
            <w:tcW w:w="0" w:type="auto"/>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Población de 5 a 17 años (en miles)</w:t>
            </w:r>
          </w:p>
        </w:tc>
        <w:tc>
          <w:tcPr>
            <w:tcW w:w="1281" w:type="dxa"/>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Población de 5 a 17 años que trabaja (en miles)</w:t>
            </w:r>
          </w:p>
        </w:tc>
        <w:tc>
          <w:tcPr>
            <w:tcW w:w="915" w:type="dxa"/>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TTI</w:t>
            </w:r>
          </w:p>
        </w:tc>
        <w:tc>
          <w:tcPr>
            <w:tcW w:w="1972" w:type="dxa"/>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Población de 5 a 17 años que trabaja más los que realizan oficios del hogar por 15 horas y más (en miles)</w:t>
            </w:r>
          </w:p>
        </w:tc>
        <w:tc>
          <w:tcPr>
            <w:tcW w:w="0" w:type="auto"/>
            <w:shd w:val="clear" w:color="auto" w:fill="auto"/>
            <w:vAlign w:val="center"/>
            <w:hideMark/>
          </w:tcPr>
          <w:p w:rsidR="00B75C85" w:rsidRPr="00F4232B" w:rsidRDefault="00B75C85" w:rsidP="00212C5E">
            <w:pPr>
              <w:jc w:val="center"/>
              <w:rPr>
                <w:rFonts w:ascii="Arial" w:hAnsi="Arial" w:cs="Arial"/>
                <w:b/>
                <w:bCs/>
                <w:color w:val="000000"/>
                <w:sz w:val="18"/>
                <w:szCs w:val="18"/>
              </w:rPr>
            </w:pPr>
            <w:r w:rsidRPr="00F4232B">
              <w:rPr>
                <w:rFonts w:ascii="Arial" w:hAnsi="Arial" w:cs="Arial"/>
                <w:b/>
                <w:bCs/>
                <w:color w:val="000000"/>
                <w:sz w:val="18"/>
                <w:szCs w:val="18"/>
              </w:rPr>
              <w:t>TTIA</w:t>
            </w:r>
          </w:p>
        </w:tc>
      </w:tr>
      <w:tr w:rsidR="00B75C85" w:rsidRPr="00F4232B" w:rsidTr="00212C5E">
        <w:trPr>
          <w:trHeight w:val="20"/>
          <w:jc w:val="center"/>
        </w:trPr>
        <w:tc>
          <w:tcPr>
            <w:tcW w:w="0" w:type="auto"/>
            <w:shd w:val="clear" w:color="auto" w:fill="auto"/>
            <w:noWrap/>
            <w:hideMark/>
          </w:tcPr>
          <w:p w:rsidR="00B75C85" w:rsidRPr="00F4232B" w:rsidRDefault="00B75C85" w:rsidP="000E62F2">
            <w:pPr>
              <w:jc w:val="center"/>
              <w:rPr>
                <w:rFonts w:ascii="Arial" w:hAnsi="Arial" w:cs="Arial"/>
                <w:color w:val="000000"/>
                <w:sz w:val="18"/>
                <w:szCs w:val="18"/>
              </w:rPr>
            </w:pPr>
            <w:r w:rsidRPr="00770E5B">
              <w:rPr>
                <w:rFonts w:ascii="Arial" w:hAnsi="Arial" w:cs="Arial"/>
                <w:color w:val="000000"/>
                <w:sz w:val="18"/>
                <w:szCs w:val="18"/>
              </w:rPr>
              <w:t>Ibagué</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122</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11</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9,3</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19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15,6</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Sincelejo</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61</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8,7</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9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14,8</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Villavicencio</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106</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6,6</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15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14,1</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Florencia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40</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4,9</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5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12,3</w:t>
            </w:r>
          </w:p>
        </w:tc>
      </w:tr>
      <w:tr w:rsidR="00B75C85" w:rsidRPr="00F4232B" w:rsidTr="00212C5E">
        <w:trPr>
          <w:trHeight w:val="20"/>
          <w:jc w:val="center"/>
        </w:trPr>
        <w:tc>
          <w:tcPr>
            <w:tcW w:w="0" w:type="auto"/>
            <w:tcBorders>
              <w:bottom w:val="single" w:sz="4" w:space="0" w:color="auto"/>
            </w:tcBorders>
            <w:shd w:val="clear" w:color="auto" w:fill="auto"/>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Armenia</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63</w:t>
            </w:r>
          </w:p>
        </w:tc>
        <w:tc>
          <w:tcPr>
            <w:tcW w:w="1281"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w:t>
            </w:r>
          </w:p>
        </w:tc>
        <w:tc>
          <w:tcPr>
            <w:tcW w:w="915"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6,5</w:t>
            </w:r>
          </w:p>
        </w:tc>
        <w:tc>
          <w:tcPr>
            <w:tcW w:w="1972"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8 </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12,2</w:t>
            </w:r>
          </w:p>
        </w:tc>
      </w:tr>
      <w:tr w:rsidR="00B75C85" w:rsidRPr="00F4232B" w:rsidTr="00212C5E">
        <w:trPr>
          <w:trHeight w:val="20"/>
          <w:jc w:val="center"/>
        </w:trPr>
        <w:tc>
          <w:tcPr>
            <w:tcW w:w="0" w:type="auto"/>
            <w:shd w:val="clear" w:color="auto" w:fill="D99594" w:themeFill="accent2" w:themeFillTint="99"/>
            <w:noWrap/>
            <w:hideMark/>
          </w:tcPr>
          <w:p w:rsidR="00B75C85" w:rsidRPr="00436018" w:rsidRDefault="00B75C85" w:rsidP="000E62F2">
            <w:pPr>
              <w:tabs>
                <w:tab w:val="right" w:leader="dot" w:pos="8828"/>
              </w:tabs>
              <w:ind w:left="220"/>
              <w:jc w:val="center"/>
              <w:rPr>
                <w:rFonts w:ascii="Arial" w:hAnsi="Arial" w:cs="Arial"/>
                <w:b/>
                <w:color w:val="000000"/>
                <w:sz w:val="18"/>
                <w:szCs w:val="18"/>
              </w:rPr>
            </w:pPr>
            <w:r w:rsidRPr="00436018">
              <w:rPr>
                <w:rFonts w:ascii="Arial" w:hAnsi="Arial" w:cs="Arial"/>
                <w:b/>
                <w:color w:val="000000"/>
                <w:sz w:val="18"/>
                <w:szCs w:val="18"/>
              </w:rPr>
              <w:t>Cartagena</w:t>
            </w:r>
          </w:p>
        </w:tc>
        <w:tc>
          <w:tcPr>
            <w:tcW w:w="0" w:type="auto"/>
            <w:shd w:val="clear" w:color="auto" w:fill="D99594" w:themeFill="accent2" w:themeFillTint="99"/>
            <w:noWrap/>
            <w:hideMark/>
          </w:tcPr>
          <w:p w:rsidR="00B75C85" w:rsidRPr="00436018" w:rsidRDefault="00B75C85" w:rsidP="00212C5E">
            <w:pPr>
              <w:tabs>
                <w:tab w:val="right" w:leader="dot" w:pos="8828"/>
              </w:tabs>
              <w:suppressAutoHyphens/>
              <w:ind w:left="283"/>
              <w:jc w:val="right"/>
              <w:rPr>
                <w:rFonts w:ascii="Arial" w:hAnsi="Arial" w:cs="Arial"/>
                <w:b/>
                <w:color w:val="000000"/>
                <w:sz w:val="18"/>
                <w:szCs w:val="18"/>
              </w:rPr>
            </w:pPr>
            <w:r w:rsidRPr="00436018">
              <w:rPr>
                <w:rFonts w:ascii="Arial" w:hAnsi="Arial" w:cs="Arial"/>
                <w:b/>
                <w:color w:val="000000"/>
                <w:sz w:val="18"/>
                <w:szCs w:val="18"/>
              </w:rPr>
              <w:t>217</w:t>
            </w:r>
          </w:p>
        </w:tc>
        <w:tc>
          <w:tcPr>
            <w:tcW w:w="1281" w:type="dxa"/>
            <w:shd w:val="clear" w:color="auto" w:fill="D99594" w:themeFill="accent2" w:themeFillTint="99"/>
            <w:noWrap/>
            <w:hideMark/>
          </w:tcPr>
          <w:p w:rsidR="00B75C85" w:rsidRPr="00436018" w:rsidRDefault="00B75C85" w:rsidP="00212C5E">
            <w:pPr>
              <w:tabs>
                <w:tab w:val="right" w:leader="dot" w:pos="8828"/>
              </w:tabs>
              <w:suppressAutoHyphens/>
              <w:ind w:left="283"/>
              <w:jc w:val="right"/>
              <w:rPr>
                <w:rFonts w:ascii="Arial" w:hAnsi="Arial" w:cs="Arial"/>
                <w:b/>
                <w:color w:val="000000"/>
                <w:sz w:val="18"/>
                <w:szCs w:val="18"/>
              </w:rPr>
            </w:pPr>
            <w:r w:rsidRPr="00436018">
              <w:rPr>
                <w:rFonts w:ascii="Arial" w:hAnsi="Arial" w:cs="Arial"/>
                <w:b/>
                <w:color w:val="000000"/>
                <w:sz w:val="18"/>
                <w:szCs w:val="18"/>
              </w:rPr>
              <w:t>6</w:t>
            </w:r>
          </w:p>
        </w:tc>
        <w:tc>
          <w:tcPr>
            <w:tcW w:w="915" w:type="dxa"/>
            <w:shd w:val="clear" w:color="auto" w:fill="D99594" w:themeFill="accent2" w:themeFillTint="99"/>
            <w:noWrap/>
            <w:hideMark/>
          </w:tcPr>
          <w:p w:rsidR="00B75C85" w:rsidRPr="00436018" w:rsidRDefault="00B75C85" w:rsidP="00212C5E">
            <w:pPr>
              <w:tabs>
                <w:tab w:val="right" w:leader="dot" w:pos="8828"/>
              </w:tabs>
              <w:suppressAutoHyphens/>
              <w:ind w:left="283"/>
              <w:jc w:val="right"/>
              <w:rPr>
                <w:rFonts w:ascii="Arial" w:hAnsi="Arial" w:cs="Arial"/>
                <w:b/>
                <w:color w:val="000000"/>
                <w:sz w:val="18"/>
                <w:szCs w:val="18"/>
              </w:rPr>
            </w:pPr>
            <w:r w:rsidRPr="00436018">
              <w:rPr>
                <w:rFonts w:ascii="Arial" w:hAnsi="Arial" w:cs="Arial"/>
                <w:b/>
                <w:color w:val="000000"/>
                <w:sz w:val="18"/>
                <w:szCs w:val="18"/>
              </w:rPr>
              <w:t>2,8</w:t>
            </w:r>
          </w:p>
        </w:tc>
        <w:tc>
          <w:tcPr>
            <w:tcW w:w="1972" w:type="dxa"/>
            <w:shd w:val="clear" w:color="auto" w:fill="D99594" w:themeFill="accent2" w:themeFillTint="99"/>
            <w:noWrap/>
            <w:hideMark/>
          </w:tcPr>
          <w:p w:rsidR="00B75C85" w:rsidRPr="00436018" w:rsidRDefault="00B75C85" w:rsidP="00212C5E">
            <w:pPr>
              <w:tabs>
                <w:tab w:val="right" w:leader="dot" w:pos="8828"/>
              </w:tabs>
              <w:suppressAutoHyphens/>
              <w:ind w:left="283"/>
              <w:jc w:val="right"/>
              <w:rPr>
                <w:rFonts w:ascii="Arial" w:hAnsi="Arial" w:cs="Arial"/>
                <w:b/>
                <w:color w:val="000000"/>
                <w:sz w:val="18"/>
                <w:szCs w:val="18"/>
              </w:rPr>
            </w:pPr>
            <w:r w:rsidRPr="00436018">
              <w:rPr>
                <w:rFonts w:ascii="Arial" w:hAnsi="Arial" w:cs="Arial"/>
                <w:b/>
                <w:color w:val="000000"/>
                <w:sz w:val="18"/>
                <w:szCs w:val="18"/>
              </w:rPr>
              <w:t xml:space="preserve">                         25 </w:t>
            </w:r>
          </w:p>
        </w:tc>
        <w:tc>
          <w:tcPr>
            <w:tcW w:w="0" w:type="auto"/>
            <w:shd w:val="clear" w:color="auto" w:fill="D99594" w:themeFill="accent2" w:themeFillTint="99"/>
            <w:noWrap/>
            <w:hideMark/>
          </w:tcPr>
          <w:p w:rsidR="00B75C85" w:rsidRPr="00436018" w:rsidRDefault="00B75C85" w:rsidP="00212C5E">
            <w:pPr>
              <w:tabs>
                <w:tab w:val="right" w:leader="dot" w:pos="8828"/>
              </w:tabs>
              <w:suppressAutoHyphens/>
              <w:ind w:left="283"/>
              <w:jc w:val="right"/>
              <w:rPr>
                <w:rFonts w:ascii="Arial" w:hAnsi="Arial" w:cs="Arial"/>
                <w:b/>
                <w:color w:val="000000"/>
                <w:sz w:val="18"/>
                <w:szCs w:val="18"/>
              </w:rPr>
            </w:pPr>
            <w:r w:rsidRPr="00436018">
              <w:rPr>
                <w:rFonts w:ascii="Arial" w:hAnsi="Arial" w:cs="Arial"/>
                <w:b/>
                <w:color w:val="000000"/>
                <w:sz w:val="18"/>
                <w:szCs w:val="18"/>
              </w:rPr>
              <w:t>11,6</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Bucaramanga A.M</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210</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19</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8,9</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23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11,0</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Valledupar</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100</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5,2</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11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10,8</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Bogotá D.C</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1.580</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119</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7,5</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169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10,7</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i/>
                <w:iCs/>
                <w:color w:val="000000"/>
                <w:sz w:val="18"/>
                <w:szCs w:val="18"/>
              </w:rPr>
            </w:pPr>
            <w:r w:rsidRPr="00770E5B">
              <w:rPr>
                <w:rFonts w:ascii="Arial" w:hAnsi="Arial" w:cs="Arial"/>
                <w:i/>
                <w:iCs/>
                <w:color w:val="000000"/>
                <w:sz w:val="18"/>
                <w:szCs w:val="18"/>
              </w:rPr>
              <w:t>Neiva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i/>
                <w:iCs/>
                <w:color w:val="000000"/>
                <w:sz w:val="18"/>
                <w:szCs w:val="18"/>
              </w:rPr>
            </w:pPr>
            <w:r w:rsidRPr="00770E5B">
              <w:rPr>
                <w:rFonts w:ascii="Arial" w:hAnsi="Arial" w:cs="Arial"/>
                <w:i/>
                <w:iCs/>
                <w:color w:val="000000"/>
                <w:sz w:val="18"/>
                <w:szCs w:val="18"/>
              </w:rPr>
              <w:t>72</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i/>
                <w:iCs/>
                <w:color w:val="000000"/>
                <w:sz w:val="18"/>
                <w:szCs w:val="18"/>
              </w:rPr>
            </w:pPr>
            <w:r w:rsidRPr="00770E5B">
              <w:rPr>
                <w:rFonts w:ascii="Arial" w:hAnsi="Arial" w:cs="Arial"/>
                <w:i/>
                <w:iCs/>
                <w:color w:val="000000"/>
                <w:sz w:val="18"/>
                <w:szCs w:val="18"/>
              </w:rPr>
              <w:t>5</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i/>
                <w:iCs/>
                <w:color w:val="000000"/>
                <w:sz w:val="18"/>
                <w:szCs w:val="18"/>
              </w:rPr>
            </w:pPr>
            <w:r w:rsidRPr="00770E5B">
              <w:rPr>
                <w:rFonts w:ascii="Arial" w:hAnsi="Arial" w:cs="Arial"/>
                <w:i/>
                <w:iCs/>
                <w:color w:val="000000"/>
                <w:sz w:val="18"/>
                <w:szCs w:val="18"/>
              </w:rPr>
              <w:t>6,7</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i/>
                <w:iCs/>
                <w:color w:val="000000"/>
                <w:sz w:val="18"/>
                <w:szCs w:val="18"/>
              </w:rPr>
            </w:pPr>
            <w:r w:rsidRPr="00770E5B">
              <w:rPr>
                <w:rFonts w:ascii="Arial" w:hAnsi="Arial" w:cs="Arial"/>
                <w:i/>
                <w:iCs/>
                <w:color w:val="000000"/>
                <w:sz w:val="18"/>
                <w:szCs w:val="18"/>
              </w:rPr>
              <w:t xml:space="preserve">                           7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i/>
                <w:iCs/>
                <w:color w:val="000000"/>
                <w:sz w:val="18"/>
                <w:szCs w:val="18"/>
              </w:rPr>
            </w:pPr>
            <w:r w:rsidRPr="00770E5B">
              <w:rPr>
                <w:rFonts w:ascii="Arial" w:hAnsi="Arial" w:cs="Arial"/>
                <w:i/>
                <w:iCs/>
                <w:color w:val="000000"/>
                <w:sz w:val="18"/>
                <w:szCs w:val="18"/>
              </w:rPr>
              <w:t>10,3</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b/>
                <w:bCs/>
                <w:color w:val="000000"/>
                <w:sz w:val="18"/>
                <w:szCs w:val="18"/>
              </w:rPr>
            </w:pPr>
            <w:r w:rsidRPr="00F4232B">
              <w:rPr>
                <w:rFonts w:ascii="Arial" w:hAnsi="Arial" w:cs="Arial"/>
                <w:b/>
                <w:bCs/>
                <w:color w:val="000000"/>
                <w:sz w:val="18"/>
                <w:szCs w:val="18"/>
              </w:rPr>
              <w:lastRenderedPageBreak/>
              <w:t>Total 13 áreas</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4.412</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281</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6,4</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 xml:space="preserve">                       444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10,1</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b/>
                <w:bCs/>
                <w:color w:val="000000"/>
                <w:sz w:val="18"/>
                <w:szCs w:val="18"/>
              </w:rPr>
            </w:pPr>
            <w:r w:rsidRPr="00F4232B">
              <w:rPr>
                <w:rFonts w:ascii="Arial" w:hAnsi="Arial" w:cs="Arial"/>
                <w:b/>
                <w:bCs/>
                <w:color w:val="000000"/>
                <w:sz w:val="18"/>
                <w:szCs w:val="18"/>
              </w:rPr>
              <w:t>Total 23 ciudades</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5.047</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317</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6,3</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 xml:space="preserve">                       507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b/>
                <w:bCs/>
                <w:color w:val="000000"/>
                <w:sz w:val="18"/>
                <w:szCs w:val="18"/>
              </w:rPr>
            </w:pPr>
            <w:r w:rsidRPr="00F4232B">
              <w:rPr>
                <w:rFonts w:ascii="Arial" w:hAnsi="Arial" w:cs="Arial"/>
                <w:b/>
                <w:bCs/>
                <w:color w:val="000000"/>
                <w:sz w:val="18"/>
                <w:szCs w:val="18"/>
              </w:rPr>
              <w:t>10,1</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Montería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81</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6,3</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8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9,9</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Tunja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41</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3</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6,4</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4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9,9</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Pasto</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79</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6,5</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8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9,8</w:t>
            </w:r>
          </w:p>
        </w:tc>
      </w:tr>
      <w:tr w:rsidR="00B75C85" w:rsidRPr="00F4232B" w:rsidTr="00212C5E">
        <w:trPr>
          <w:trHeight w:val="20"/>
          <w:jc w:val="center"/>
        </w:trPr>
        <w:tc>
          <w:tcPr>
            <w:tcW w:w="0" w:type="auto"/>
            <w:tcBorders>
              <w:bottom w:val="single" w:sz="4" w:space="0" w:color="auto"/>
            </w:tcBorders>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Medellín A.M</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682</w:t>
            </w:r>
          </w:p>
        </w:tc>
        <w:tc>
          <w:tcPr>
            <w:tcW w:w="1281"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47</w:t>
            </w:r>
          </w:p>
        </w:tc>
        <w:tc>
          <w:tcPr>
            <w:tcW w:w="915"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6,8</w:t>
            </w:r>
          </w:p>
        </w:tc>
        <w:tc>
          <w:tcPr>
            <w:tcW w:w="1972"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67 </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9,8</w:t>
            </w:r>
          </w:p>
        </w:tc>
      </w:tr>
      <w:tr w:rsidR="00B75C85" w:rsidRPr="00F4232B" w:rsidTr="00212C5E">
        <w:trPr>
          <w:trHeight w:val="20"/>
          <w:jc w:val="center"/>
        </w:trPr>
        <w:tc>
          <w:tcPr>
            <w:tcW w:w="0" w:type="auto"/>
            <w:shd w:val="clear" w:color="auto" w:fill="auto"/>
            <w:noWrap/>
            <w:hideMark/>
          </w:tcPr>
          <w:p w:rsidR="00B75C85" w:rsidRPr="00436018" w:rsidRDefault="00B75C85" w:rsidP="000E62F2">
            <w:pPr>
              <w:tabs>
                <w:tab w:val="right" w:leader="dot" w:pos="8828"/>
              </w:tabs>
              <w:ind w:left="220"/>
              <w:jc w:val="center"/>
              <w:rPr>
                <w:rFonts w:ascii="Arial" w:hAnsi="Arial" w:cs="Arial"/>
                <w:color w:val="000000"/>
                <w:sz w:val="18"/>
                <w:szCs w:val="18"/>
              </w:rPr>
            </w:pPr>
            <w:r w:rsidRPr="00436018">
              <w:rPr>
                <w:rFonts w:ascii="Arial" w:hAnsi="Arial" w:cs="Arial"/>
                <w:color w:val="000000"/>
                <w:sz w:val="18"/>
                <w:szCs w:val="18"/>
              </w:rPr>
              <w:t>Cúcuta A.M</w:t>
            </w:r>
          </w:p>
        </w:tc>
        <w:tc>
          <w:tcPr>
            <w:tcW w:w="0" w:type="auto"/>
            <w:shd w:val="clear" w:color="auto" w:fill="auto"/>
            <w:noWrap/>
            <w:hideMark/>
          </w:tcPr>
          <w:p w:rsidR="00B75C85" w:rsidRPr="00436018" w:rsidRDefault="00B75C85" w:rsidP="00212C5E">
            <w:pPr>
              <w:tabs>
                <w:tab w:val="right" w:leader="dot" w:pos="8828"/>
              </w:tabs>
              <w:suppressAutoHyphens/>
              <w:ind w:left="283"/>
              <w:jc w:val="right"/>
              <w:rPr>
                <w:rFonts w:ascii="Arial" w:hAnsi="Arial" w:cs="Arial"/>
                <w:color w:val="000000"/>
                <w:sz w:val="18"/>
                <w:szCs w:val="18"/>
              </w:rPr>
            </w:pPr>
            <w:r w:rsidRPr="00436018">
              <w:rPr>
                <w:rFonts w:ascii="Arial" w:hAnsi="Arial" w:cs="Arial"/>
                <w:color w:val="000000"/>
                <w:sz w:val="18"/>
                <w:szCs w:val="18"/>
              </w:rPr>
              <w:t>196</w:t>
            </w:r>
          </w:p>
        </w:tc>
        <w:tc>
          <w:tcPr>
            <w:tcW w:w="1281" w:type="dxa"/>
            <w:shd w:val="clear" w:color="auto" w:fill="auto"/>
            <w:noWrap/>
            <w:hideMark/>
          </w:tcPr>
          <w:p w:rsidR="00B75C85" w:rsidRPr="00436018" w:rsidRDefault="00B75C85" w:rsidP="00212C5E">
            <w:pPr>
              <w:tabs>
                <w:tab w:val="right" w:leader="dot" w:pos="8828"/>
              </w:tabs>
              <w:suppressAutoHyphens/>
              <w:ind w:left="283"/>
              <w:jc w:val="right"/>
              <w:rPr>
                <w:rFonts w:ascii="Arial" w:hAnsi="Arial" w:cs="Arial"/>
                <w:color w:val="000000"/>
                <w:sz w:val="18"/>
                <w:szCs w:val="18"/>
              </w:rPr>
            </w:pPr>
            <w:r w:rsidRPr="00436018">
              <w:rPr>
                <w:rFonts w:ascii="Arial" w:hAnsi="Arial" w:cs="Arial"/>
                <w:color w:val="000000"/>
                <w:sz w:val="18"/>
                <w:szCs w:val="18"/>
              </w:rPr>
              <w:t>13</w:t>
            </w:r>
          </w:p>
        </w:tc>
        <w:tc>
          <w:tcPr>
            <w:tcW w:w="915" w:type="dxa"/>
            <w:shd w:val="clear" w:color="auto" w:fill="auto"/>
            <w:noWrap/>
            <w:hideMark/>
          </w:tcPr>
          <w:p w:rsidR="00B75C85" w:rsidRPr="00436018" w:rsidRDefault="00B75C85" w:rsidP="00212C5E">
            <w:pPr>
              <w:tabs>
                <w:tab w:val="right" w:leader="dot" w:pos="8828"/>
              </w:tabs>
              <w:suppressAutoHyphens/>
              <w:ind w:left="283"/>
              <w:jc w:val="right"/>
              <w:rPr>
                <w:rFonts w:ascii="Arial" w:hAnsi="Arial" w:cs="Arial"/>
                <w:color w:val="000000"/>
                <w:sz w:val="18"/>
                <w:szCs w:val="18"/>
              </w:rPr>
            </w:pPr>
            <w:r w:rsidRPr="00436018">
              <w:rPr>
                <w:rFonts w:ascii="Arial" w:hAnsi="Arial" w:cs="Arial"/>
                <w:color w:val="000000"/>
                <w:sz w:val="18"/>
                <w:szCs w:val="18"/>
              </w:rPr>
              <w:t>6,5</w:t>
            </w:r>
          </w:p>
        </w:tc>
        <w:tc>
          <w:tcPr>
            <w:tcW w:w="1972" w:type="dxa"/>
            <w:shd w:val="clear" w:color="auto" w:fill="auto"/>
            <w:noWrap/>
            <w:hideMark/>
          </w:tcPr>
          <w:p w:rsidR="00B75C85" w:rsidRPr="00436018" w:rsidRDefault="00B75C85" w:rsidP="00212C5E">
            <w:pPr>
              <w:tabs>
                <w:tab w:val="right" w:leader="dot" w:pos="8828"/>
              </w:tabs>
              <w:suppressAutoHyphens/>
              <w:ind w:left="283"/>
              <w:jc w:val="right"/>
              <w:rPr>
                <w:rFonts w:ascii="Arial" w:hAnsi="Arial" w:cs="Arial"/>
                <w:color w:val="000000"/>
                <w:sz w:val="18"/>
                <w:szCs w:val="18"/>
              </w:rPr>
            </w:pPr>
            <w:r w:rsidRPr="00436018">
              <w:rPr>
                <w:rFonts w:ascii="Arial" w:hAnsi="Arial" w:cs="Arial"/>
                <w:color w:val="000000"/>
                <w:sz w:val="18"/>
                <w:szCs w:val="18"/>
              </w:rPr>
              <w:t xml:space="preserve">                         19 </w:t>
            </w:r>
          </w:p>
        </w:tc>
        <w:tc>
          <w:tcPr>
            <w:tcW w:w="0" w:type="auto"/>
            <w:shd w:val="clear" w:color="auto" w:fill="auto"/>
            <w:noWrap/>
            <w:hideMark/>
          </w:tcPr>
          <w:p w:rsidR="00B75C85" w:rsidRPr="00436018" w:rsidRDefault="00B75C85" w:rsidP="00212C5E">
            <w:pPr>
              <w:tabs>
                <w:tab w:val="right" w:leader="dot" w:pos="8828"/>
              </w:tabs>
              <w:suppressAutoHyphens/>
              <w:ind w:left="283"/>
              <w:jc w:val="right"/>
              <w:rPr>
                <w:rFonts w:ascii="Arial" w:hAnsi="Arial" w:cs="Arial"/>
                <w:color w:val="000000"/>
                <w:sz w:val="18"/>
                <w:szCs w:val="18"/>
              </w:rPr>
            </w:pPr>
            <w:r w:rsidRPr="00436018">
              <w:rPr>
                <w:rFonts w:ascii="Arial" w:hAnsi="Arial" w:cs="Arial"/>
                <w:color w:val="000000"/>
                <w:sz w:val="18"/>
                <w:szCs w:val="18"/>
              </w:rPr>
              <w:t>9,4</w:t>
            </w:r>
          </w:p>
        </w:tc>
      </w:tr>
      <w:tr w:rsidR="00B75C85" w:rsidRPr="00F4232B" w:rsidTr="00212C5E">
        <w:trPr>
          <w:trHeight w:val="20"/>
          <w:jc w:val="center"/>
        </w:trPr>
        <w:tc>
          <w:tcPr>
            <w:tcW w:w="0" w:type="auto"/>
            <w:tcBorders>
              <w:bottom w:val="single" w:sz="4" w:space="0" w:color="auto"/>
            </w:tcBorders>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Quibdó</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32</w:t>
            </w:r>
          </w:p>
        </w:tc>
        <w:tc>
          <w:tcPr>
            <w:tcW w:w="1281"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w:t>
            </w:r>
          </w:p>
        </w:tc>
        <w:tc>
          <w:tcPr>
            <w:tcW w:w="915"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7,1</w:t>
            </w:r>
          </w:p>
        </w:tc>
        <w:tc>
          <w:tcPr>
            <w:tcW w:w="1972"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3 </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9,4</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jc w:val="center"/>
              <w:rPr>
                <w:rFonts w:ascii="Arial" w:hAnsi="Arial" w:cs="Arial"/>
                <w:color w:val="000000"/>
                <w:sz w:val="18"/>
                <w:szCs w:val="18"/>
              </w:rPr>
            </w:pPr>
            <w:r w:rsidRPr="00770E5B">
              <w:rPr>
                <w:rFonts w:ascii="Arial" w:hAnsi="Arial" w:cs="Arial"/>
                <w:color w:val="000000"/>
                <w:sz w:val="18"/>
                <w:szCs w:val="18"/>
              </w:rPr>
              <w:t>Cali A.M</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512</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28</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5,5</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48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9,3</w:t>
            </w:r>
          </w:p>
        </w:tc>
      </w:tr>
      <w:tr w:rsidR="00B75C85" w:rsidRPr="00F4232B" w:rsidTr="00212C5E">
        <w:trPr>
          <w:trHeight w:val="20"/>
          <w:jc w:val="center"/>
        </w:trPr>
        <w:tc>
          <w:tcPr>
            <w:tcW w:w="0" w:type="auto"/>
            <w:shd w:val="clear" w:color="auto" w:fill="auto"/>
            <w:noWrap/>
            <w:hideMark/>
          </w:tcPr>
          <w:p w:rsidR="00B75C85" w:rsidRPr="00F4232B" w:rsidRDefault="00B75C85" w:rsidP="000E62F2">
            <w:pPr>
              <w:jc w:val="center"/>
              <w:rPr>
                <w:rFonts w:ascii="Arial" w:hAnsi="Arial" w:cs="Arial"/>
                <w:color w:val="000000"/>
                <w:sz w:val="18"/>
                <w:szCs w:val="18"/>
              </w:rPr>
            </w:pPr>
            <w:r w:rsidRPr="00770E5B">
              <w:rPr>
                <w:rFonts w:ascii="Arial" w:hAnsi="Arial" w:cs="Arial"/>
                <w:color w:val="000000"/>
                <w:sz w:val="18"/>
                <w:szCs w:val="18"/>
              </w:rPr>
              <w:t>Pereira A.M</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123</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5,2</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11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9,2</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Riohacha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57</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3</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5,7</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5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8,8</w:t>
            </w:r>
          </w:p>
        </w:tc>
      </w:tr>
      <w:tr w:rsidR="00B75C85" w:rsidRPr="00F4232B" w:rsidTr="00212C5E">
        <w:trPr>
          <w:trHeight w:val="20"/>
          <w:jc w:val="center"/>
        </w:trPr>
        <w:tc>
          <w:tcPr>
            <w:tcW w:w="0" w:type="auto"/>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Santa Marta</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119</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6</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4,8</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9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7,8</w:t>
            </w:r>
          </w:p>
        </w:tc>
      </w:tr>
      <w:tr w:rsidR="00B75C85" w:rsidRPr="00F4232B" w:rsidTr="00212C5E">
        <w:trPr>
          <w:trHeight w:val="20"/>
          <w:jc w:val="center"/>
        </w:trPr>
        <w:tc>
          <w:tcPr>
            <w:tcW w:w="0" w:type="auto"/>
            <w:tcBorders>
              <w:bottom w:val="single" w:sz="4" w:space="0" w:color="auto"/>
            </w:tcBorders>
            <w:shd w:val="clear" w:color="auto" w:fill="auto"/>
            <w:noWrap/>
            <w:hideMark/>
          </w:tcPr>
          <w:p w:rsidR="00B75C85" w:rsidRPr="00770E5B" w:rsidRDefault="00B75C85" w:rsidP="000E62F2">
            <w:pPr>
              <w:tabs>
                <w:tab w:val="right" w:leader="dot" w:pos="8828"/>
              </w:tabs>
              <w:ind w:left="220"/>
              <w:jc w:val="center"/>
              <w:rPr>
                <w:rFonts w:ascii="Arial" w:hAnsi="Arial" w:cs="Arial"/>
                <w:color w:val="000000"/>
                <w:sz w:val="18"/>
                <w:szCs w:val="18"/>
              </w:rPr>
            </w:pPr>
            <w:r w:rsidRPr="00770E5B">
              <w:rPr>
                <w:rFonts w:ascii="Arial" w:hAnsi="Arial" w:cs="Arial"/>
                <w:color w:val="000000"/>
                <w:sz w:val="18"/>
                <w:szCs w:val="18"/>
              </w:rPr>
              <w:t>Manizales A.M</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81</w:t>
            </w:r>
          </w:p>
        </w:tc>
        <w:tc>
          <w:tcPr>
            <w:tcW w:w="1281"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w:t>
            </w:r>
          </w:p>
        </w:tc>
        <w:tc>
          <w:tcPr>
            <w:tcW w:w="915"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2,4</w:t>
            </w:r>
          </w:p>
        </w:tc>
        <w:tc>
          <w:tcPr>
            <w:tcW w:w="1972" w:type="dxa"/>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6 </w:t>
            </w:r>
          </w:p>
        </w:tc>
        <w:tc>
          <w:tcPr>
            <w:tcW w:w="0" w:type="auto"/>
            <w:tcBorders>
              <w:bottom w:val="single" w:sz="4" w:space="0" w:color="auto"/>
            </w:tcBorders>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7,2</w:t>
            </w:r>
          </w:p>
        </w:tc>
      </w:tr>
      <w:tr w:rsidR="00B75C85" w:rsidRPr="00F4232B" w:rsidTr="00212C5E">
        <w:trPr>
          <w:trHeight w:val="20"/>
          <w:jc w:val="center"/>
        </w:trPr>
        <w:tc>
          <w:tcPr>
            <w:tcW w:w="0" w:type="auto"/>
            <w:shd w:val="clear" w:color="auto" w:fill="auto"/>
            <w:noWrap/>
            <w:hideMark/>
          </w:tcPr>
          <w:p w:rsidR="00B75C85" w:rsidRPr="00C534F0" w:rsidRDefault="00B75C85" w:rsidP="000E62F2">
            <w:pPr>
              <w:jc w:val="center"/>
              <w:rPr>
                <w:rFonts w:ascii="Arial" w:hAnsi="Arial" w:cs="Arial"/>
                <w:color w:val="000000"/>
                <w:sz w:val="18"/>
                <w:szCs w:val="18"/>
              </w:rPr>
            </w:pPr>
            <w:r w:rsidRPr="00C534F0">
              <w:rPr>
                <w:rFonts w:ascii="Arial" w:hAnsi="Arial" w:cs="Arial"/>
                <w:color w:val="000000"/>
                <w:sz w:val="18"/>
                <w:szCs w:val="18"/>
              </w:rPr>
              <w:t>Barranquilla A.M</w:t>
            </w:r>
          </w:p>
        </w:tc>
        <w:tc>
          <w:tcPr>
            <w:tcW w:w="0" w:type="auto"/>
            <w:shd w:val="clear" w:color="auto" w:fill="auto"/>
            <w:noWrap/>
            <w:hideMark/>
          </w:tcPr>
          <w:p w:rsidR="00B75C85" w:rsidRPr="00C534F0" w:rsidRDefault="00B75C85" w:rsidP="00212C5E">
            <w:pPr>
              <w:tabs>
                <w:tab w:val="right" w:leader="dot" w:pos="8828"/>
              </w:tabs>
              <w:suppressAutoHyphens/>
              <w:ind w:left="283"/>
              <w:jc w:val="right"/>
              <w:rPr>
                <w:rFonts w:ascii="Arial" w:hAnsi="Arial" w:cs="Arial"/>
                <w:color w:val="000000"/>
                <w:sz w:val="18"/>
                <w:szCs w:val="18"/>
              </w:rPr>
            </w:pPr>
            <w:r w:rsidRPr="00C534F0">
              <w:rPr>
                <w:rFonts w:ascii="Arial" w:hAnsi="Arial" w:cs="Arial"/>
                <w:color w:val="000000"/>
                <w:sz w:val="18"/>
                <w:szCs w:val="18"/>
              </w:rPr>
              <w:t>422</w:t>
            </w:r>
          </w:p>
        </w:tc>
        <w:tc>
          <w:tcPr>
            <w:tcW w:w="1281" w:type="dxa"/>
            <w:shd w:val="clear" w:color="auto" w:fill="auto"/>
            <w:noWrap/>
            <w:hideMark/>
          </w:tcPr>
          <w:p w:rsidR="00B75C85" w:rsidRPr="00C534F0" w:rsidRDefault="00B75C85" w:rsidP="00212C5E">
            <w:pPr>
              <w:tabs>
                <w:tab w:val="right" w:leader="dot" w:pos="8828"/>
              </w:tabs>
              <w:suppressAutoHyphens/>
              <w:ind w:left="283"/>
              <w:jc w:val="right"/>
              <w:rPr>
                <w:rFonts w:ascii="Arial" w:hAnsi="Arial" w:cs="Arial"/>
                <w:color w:val="000000"/>
                <w:sz w:val="18"/>
                <w:szCs w:val="18"/>
              </w:rPr>
            </w:pPr>
            <w:r w:rsidRPr="00C534F0">
              <w:rPr>
                <w:rFonts w:ascii="Arial" w:hAnsi="Arial" w:cs="Arial"/>
                <w:color w:val="000000"/>
                <w:sz w:val="18"/>
                <w:szCs w:val="18"/>
              </w:rPr>
              <w:t>12</w:t>
            </w:r>
          </w:p>
        </w:tc>
        <w:tc>
          <w:tcPr>
            <w:tcW w:w="915" w:type="dxa"/>
            <w:shd w:val="clear" w:color="auto" w:fill="auto"/>
            <w:noWrap/>
            <w:hideMark/>
          </w:tcPr>
          <w:p w:rsidR="00B75C85" w:rsidRPr="00C534F0" w:rsidRDefault="00B75C85" w:rsidP="00212C5E">
            <w:pPr>
              <w:tabs>
                <w:tab w:val="right" w:leader="dot" w:pos="8828"/>
              </w:tabs>
              <w:suppressAutoHyphens/>
              <w:ind w:left="283"/>
              <w:jc w:val="right"/>
              <w:rPr>
                <w:rFonts w:ascii="Arial" w:hAnsi="Arial" w:cs="Arial"/>
                <w:color w:val="000000"/>
                <w:sz w:val="18"/>
                <w:szCs w:val="18"/>
              </w:rPr>
            </w:pPr>
            <w:r w:rsidRPr="00C534F0">
              <w:rPr>
                <w:rFonts w:ascii="Arial" w:hAnsi="Arial" w:cs="Arial"/>
                <w:color w:val="000000"/>
                <w:sz w:val="18"/>
                <w:szCs w:val="18"/>
              </w:rPr>
              <w:t>2,9</w:t>
            </w:r>
          </w:p>
        </w:tc>
        <w:tc>
          <w:tcPr>
            <w:tcW w:w="1972" w:type="dxa"/>
            <w:shd w:val="clear" w:color="auto" w:fill="auto"/>
            <w:noWrap/>
            <w:hideMark/>
          </w:tcPr>
          <w:p w:rsidR="00B75C85" w:rsidRPr="00C534F0" w:rsidRDefault="00B75C85" w:rsidP="00212C5E">
            <w:pPr>
              <w:tabs>
                <w:tab w:val="right" w:leader="dot" w:pos="8828"/>
              </w:tabs>
              <w:suppressAutoHyphens/>
              <w:ind w:left="283"/>
              <w:jc w:val="right"/>
              <w:rPr>
                <w:rFonts w:ascii="Arial" w:hAnsi="Arial" w:cs="Arial"/>
                <w:color w:val="000000"/>
                <w:sz w:val="18"/>
                <w:szCs w:val="18"/>
              </w:rPr>
            </w:pPr>
            <w:r w:rsidRPr="00C534F0">
              <w:rPr>
                <w:rFonts w:ascii="Arial" w:hAnsi="Arial" w:cs="Arial"/>
                <w:color w:val="000000"/>
                <w:sz w:val="18"/>
                <w:szCs w:val="18"/>
              </w:rPr>
              <w:t xml:space="preserve">                         27 </w:t>
            </w:r>
          </w:p>
        </w:tc>
        <w:tc>
          <w:tcPr>
            <w:tcW w:w="0" w:type="auto"/>
            <w:shd w:val="clear" w:color="auto" w:fill="auto"/>
            <w:noWrap/>
            <w:hideMark/>
          </w:tcPr>
          <w:p w:rsidR="00B75C85" w:rsidRPr="00C534F0" w:rsidRDefault="00B75C85" w:rsidP="00212C5E">
            <w:pPr>
              <w:tabs>
                <w:tab w:val="right" w:leader="dot" w:pos="8828"/>
              </w:tabs>
              <w:suppressAutoHyphens/>
              <w:ind w:left="283"/>
              <w:jc w:val="right"/>
              <w:rPr>
                <w:rFonts w:ascii="Arial" w:hAnsi="Arial" w:cs="Arial"/>
                <w:color w:val="000000"/>
                <w:sz w:val="18"/>
                <w:szCs w:val="18"/>
              </w:rPr>
            </w:pPr>
            <w:r w:rsidRPr="00C534F0">
              <w:rPr>
                <w:rFonts w:ascii="Arial" w:hAnsi="Arial" w:cs="Arial"/>
                <w:color w:val="000000"/>
                <w:sz w:val="18"/>
                <w:szCs w:val="18"/>
              </w:rPr>
              <w:t>6,3</w:t>
            </w:r>
          </w:p>
        </w:tc>
      </w:tr>
      <w:tr w:rsidR="00B75C85" w:rsidRPr="00F4232B" w:rsidTr="00212C5E">
        <w:trPr>
          <w:trHeight w:val="20"/>
          <w:jc w:val="center"/>
        </w:trPr>
        <w:tc>
          <w:tcPr>
            <w:tcW w:w="0" w:type="auto"/>
            <w:shd w:val="clear" w:color="auto" w:fill="auto"/>
            <w:noWrap/>
            <w:hideMark/>
          </w:tcPr>
          <w:p w:rsidR="00B75C85" w:rsidRPr="00F4232B" w:rsidRDefault="00B75C85" w:rsidP="000E62F2">
            <w:pPr>
              <w:jc w:val="center"/>
              <w:rPr>
                <w:rFonts w:ascii="Arial" w:hAnsi="Arial" w:cs="Arial"/>
                <w:color w:val="000000"/>
                <w:sz w:val="18"/>
                <w:szCs w:val="18"/>
              </w:rPr>
            </w:pPr>
            <w:r w:rsidRPr="00770E5B">
              <w:rPr>
                <w:rFonts w:ascii="Arial" w:hAnsi="Arial" w:cs="Arial"/>
                <w:color w:val="000000"/>
                <w:sz w:val="18"/>
                <w:szCs w:val="18"/>
              </w:rPr>
              <w:t>Popayán</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50</w:t>
            </w:r>
          </w:p>
        </w:tc>
        <w:tc>
          <w:tcPr>
            <w:tcW w:w="1281"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w:t>
            </w:r>
          </w:p>
        </w:tc>
        <w:tc>
          <w:tcPr>
            <w:tcW w:w="915"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1,9</w:t>
            </w:r>
          </w:p>
        </w:tc>
        <w:tc>
          <w:tcPr>
            <w:tcW w:w="1972" w:type="dxa"/>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 xml:space="preserve">                           2 </w:t>
            </w:r>
          </w:p>
        </w:tc>
        <w:tc>
          <w:tcPr>
            <w:tcW w:w="0" w:type="auto"/>
            <w:shd w:val="clear" w:color="auto" w:fill="auto"/>
            <w:noWrap/>
            <w:hideMark/>
          </w:tcPr>
          <w:p w:rsidR="00B75C85" w:rsidRPr="00770E5B" w:rsidRDefault="00B75C85" w:rsidP="00212C5E">
            <w:pPr>
              <w:tabs>
                <w:tab w:val="right" w:leader="dot" w:pos="8828"/>
              </w:tabs>
              <w:suppressAutoHyphens/>
              <w:ind w:left="283"/>
              <w:jc w:val="right"/>
              <w:rPr>
                <w:rFonts w:ascii="Arial" w:hAnsi="Arial" w:cs="Arial"/>
                <w:color w:val="000000"/>
                <w:sz w:val="18"/>
                <w:szCs w:val="18"/>
              </w:rPr>
            </w:pPr>
            <w:r w:rsidRPr="00770E5B">
              <w:rPr>
                <w:rFonts w:ascii="Arial" w:hAnsi="Arial" w:cs="Arial"/>
                <w:color w:val="000000"/>
                <w:sz w:val="18"/>
                <w:szCs w:val="18"/>
              </w:rPr>
              <w:t>3,6</w:t>
            </w:r>
          </w:p>
        </w:tc>
      </w:tr>
    </w:tbl>
    <w:p w:rsidR="00B75C85" w:rsidRPr="00A25536" w:rsidRDefault="00B75C85" w:rsidP="00B75C85">
      <w:pPr>
        <w:autoSpaceDE w:val="0"/>
        <w:autoSpaceDN w:val="0"/>
        <w:adjustRightInd w:val="0"/>
        <w:jc w:val="center"/>
        <w:rPr>
          <w:rFonts w:ascii="Arial" w:hAnsi="Arial" w:cs="Arial"/>
          <w:sz w:val="18"/>
          <w:szCs w:val="18"/>
        </w:rPr>
      </w:pPr>
      <w:r w:rsidRPr="00770E5B">
        <w:rPr>
          <w:rFonts w:ascii="Arial" w:hAnsi="Arial" w:cs="Arial"/>
          <w:sz w:val="18"/>
          <w:szCs w:val="18"/>
        </w:rPr>
        <w:t>Fuente: DANE</w:t>
      </w:r>
      <w:r w:rsidRPr="00770E5B">
        <w:rPr>
          <w:rFonts w:ascii="Arial" w:hAnsi="Arial" w:cs="Arial"/>
          <w:noProof/>
          <w:sz w:val="18"/>
          <w:szCs w:val="18"/>
        </w:rPr>
        <w:t xml:space="preserve">. Gran Encuesta Integrada de Hogares (módulo de trabajo infantil), </w:t>
      </w:r>
      <w:r w:rsidRPr="00770E5B">
        <w:rPr>
          <w:rFonts w:ascii="Arial" w:hAnsi="Arial" w:cs="Arial"/>
          <w:sz w:val="18"/>
          <w:szCs w:val="18"/>
        </w:rPr>
        <w:t>2012</w:t>
      </w:r>
    </w:p>
    <w:p w:rsidR="00B75C85" w:rsidRDefault="00B75C85" w:rsidP="003062F0">
      <w:pPr>
        <w:spacing w:line="276" w:lineRule="auto"/>
        <w:jc w:val="both"/>
        <w:rPr>
          <w:rFonts w:ascii="Arial" w:hAnsi="Arial" w:cs="Arial"/>
        </w:rPr>
      </w:pPr>
      <w:r w:rsidRPr="002644A6">
        <w:rPr>
          <w:rFonts w:ascii="Arial" w:hAnsi="Arial" w:cs="Arial"/>
        </w:rPr>
        <w:br/>
      </w:r>
      <w:r w:rsidRPr="009B445E">
        <w:rPr>
          <w:rFonts w:ascii="Arial" w:hAnsi="Arial" w:cs="Arial"/>
        </w:rPr>
        <w:t xml:space="preserve">Se puede observar que </w:t>
      </w:r>
      <w:r>
        <w:rPr>
          <w:rFonts w:ascii="Arial" w:hAnsi="Arial" w:cs="Arial"/>
        </w:rPr>
        <w:t>Cartagena presenta un 2,8</w:t>
      </w:r>
      <w:r w:rsidRPr="009B445E">
        <w:rPr>
          <w:rFonts w:ascii="Arial" w:hAnsi="Arial" w:cs="Arial"/>
        </w:rPr>
        <w:t xml:space="preserve">% en la tasa de trabajo infantil, cifra </w:t>
      </w:r>
      <w:r>
        <w:rPr>
          <w:rFonts w:ascii="Arial" w:hAnsi="Arial" w:cs="Arial"/>
        </w:rPr>
        <w:t>significativamente inferior</w:t>
      </w:r>
      <w:r w:rsidRPr="009B445E">
        <w:rPr>
          <w:rFonts w:ascii="Arial" w:hAnsi="Arial" w:cs="Arial"/>
        </w:rPr>
        <w:t xml:space="preserve"> al promedio para las trece áreas y para el total nacional. La tasa de trabajo infantil ampliada, en la que se cuenta el trabajo en los ofic</w:t>
      </w:r>
      <w:r>
        <w:rPr>
          <w:rFonts w:ascii="Arial" w:hAnsi="Arial" w:cs="Arial"/>
        </w:rPr>
        <w:t>ios del hogar, llegó en 2012 a 11,6</w:t>
      </w:r>
      <w:r w:rsidRPr="009B445E">
        <w:rPr>
          <w:rFonts w:ascii="Arial" w:hAnsi="Arial" w:cs="Arial"/>
        </w:rPr>
        <w:t xml:space="preserve">%, </w:t>
      </w:r>
      <w:r>
        <w:rPr>
          <w:rFonts w:ascii="Arial" w:hAnsi="Arial" w:cs="Arial"/>
        </w:rPr>
        <w:t xml:space="preserve">en contraste </w:t>
      </w:r>
      <w:r w:rsidRPr="009B445E">
        <w:rPr>
          <w:rFonts w:ascii="Arial" w:hAnsi="Arial" w:cs="Arial"/>
        </w:rPr>
        <w:t xml:space="preserve">ubicada por </w:t>
      </w:r>
      <w:r>
        <w:rPr>
          <w:rFonts w:ascii="Arial" w:hAnsi="Arial" w:cs="Arial"/>
        </w:rPr>
        <w:t>encima</w:t>
      </w:r>
      <w:r w:rsidRPr="009B445E">
        <w:rPr>
          <w:rFonts w:ascii="Arial" w:hAnsi="Arial" w:cs="Arial"/>
        </w:rPr>
        <w:t xml:space="preserve"> de las tasas correspondientes al total  metropolitano y al total nacional.</w:t>
      </w:r>
    </w:p>
    <w:p w:rsidR="00B75C85" w:rsidRPr="009B445E" w:rsidRDefault="00B75C85" w:rsidP="003062F0">
      <w:pPr>
        <w:spacing w:line="276" w:lineRule="auto"/>
        <w:jc w:val="both"/>
        <w:rPr>
          <w:rFonts w:ascii="Arial" w:hAnsi="Arial" w:cs="Arial"/>
        </w:rPr>
      </w:pPr>
    </w:p>
    <w:p w:rsidR="006233CF" w:rsidRDefault="00B75C85" w:rsidP="003062F0">
      <w:pPr>
        <w:spacing w:line="276" w:lineRule="auto"/>
        <w:jc w:val="both"/>
        <w:rPr>
          <w:rFonts w:ascii="Arial" w:hAnsi="Arial" w:cs="Arial"/>
        </w:rPr>
      </w:pPr>
      <w:r w:rsidRPr="009B445E">
        <w:rPr>
          <w:rFonts w:ascii="Arial" w:hAnsi="Arial" w:cs="Arial"/>
        </w:rPr>
        <w:t xml:space="preserve">La segunda fuente estadística es la del Ministerio del Trabajo a través del Sistema de Información Integrado para la Identificación, Registro y Caracterización del Trabajo Infantil y sus Peores Formas (SIRITI), sistema que registra niños y niñas ubicados en las peores formas de trabajo infantil y que se entiende (de acuerdo con la especificación del </w:t>
      </w:r>
      <w:r w:rsidRPr="000E62F2">
        <w:rPr>
          <w:rFonts w:ascii="Arial" w:hAnsi="Arial" w:cs="Arial"/>
        </w:rPr>
        <w:t>Ministerio del Trabajo, 2011,</w:t>
      </w:r>
      <w:r w:rsidRPr="009B445E">
        <w:rPr>
          <w:rFonts w:ascii="Arial" w:hAnsi="Arial" w:cs="Arial"/>
        </w:rPr>
        <w:t xml:space="preserve"> en el informe sobre el comportamiento del trabajo infantil según la Encuesta Nacional de Trabajo Infantil (ENTI))  como aquellas “formas de esclavitud o las prácticas análogas a la esclavitud, venta y la trata de niños, servidumbre por deudas y la condición de siervo, y el trabajo forzoso u obligatorio, incluido el reclutamiento forzoso u obligatorio de niños para utilizarlos en conflictos armados, prostitución, pornografía y el reclutamiento o la oferta de niños para la realización de actividades” (Ministerio del trabajo, 2011, p. 2). </w:t>
      </w:r>
    </w:p>
    <w:p w:rsidR="006233CF" w:rsidRDefault="006233CF" w:rsidP="003062F0">
      <w:pPr>
        <w:spacing w:line="276" w:lineRule="auto"/>
        <w:jc w:val="both"/>
        <w:rPr>
          <w:rFonts w:ascii="Arial" w:hAnsi="Arial" w:cs="Arial"/>
        </w:rPr>
      </w:pPr>
    </w:p>
    <w:p w:rsidR="00B75C85" w:rsidRDefault="00B75C85" w:rsidP="003062F0">
      <w:pPr>
        <w:spacing w:line="276" w:lineRule="auto"/>
        <w:jc w:val="both"/>
        <w:rPr>
          <w:rFonts w:ascii="Arial" w:hAnsi="Arial" w:cs="Arial"/>
        </w:rPr>
      </w:pPr>
      <w:r w:rsidRPr="009B445E">
        <w:rPr>
          <w:rFonts w:ascii="Arial" w:hAnsi="Arial" w:cs="Arial"/>
        </w:rPr>
        <w:t xml:space="preserve">La base SIRITI permite obtener un importante acervo de información por departamentos y con filtros de edad y género para niños y adolescentes. </w:t>
      </w:r>
    </w:p>
    <w:p w:rsidR="00B75C85" w:rsidRPr="009B445E" w:rsidRDefault="00B75C85" w:rsidP="003062F0">
      <w:pPr>
        <w:spacing w:line="276" w:lineRule="auto"/>
        <w:jc w:val="both"/>
        <w:rPr>
          <w:rFonts w:ascii="Arial" w:hAnsi="Arial" w:cs="Arial"/>
        </w:rPr>
      </w:pPr>
    </w:p>
    <w:p w:rsidR="006233CF" w:rsidRDefault="00B75C85" w:rsidP="00DC6E74">
      <w:pPr>
        <w:pStyle w:val="Prrafodelista"/>
        <w:numPr>
          <w:ilvl w:val="0"/>
          <w:numId w:val="36"/>
        </w:numPr>
        <w:spacing w:line="276" w:lineRule="auto"/>
        <w:jc w:val="both"/>
        <w:rPr>
          <w:rFonts w:ascii="Arial" w:hAnsi="Arial" w:cs="Arial"/>
        </w:rPr>
      </w:pPr>
      <w:r w:rsidRPr="000145B6">
        <w:rPr>
          <w:rFonts w:ascii="Arial" w:hAnsi="Arial" w:cs="Arial"/>
        </w:rPr>
        <w:t xml:space="preserve">Los datos del sistema reportan para 2012, que de un total de 18.298 niños y niñas registrados, 16.201 (que representa el 88,53%) se encontraban en condiciones de vulnerabilidad o riesgo. El 11,46% del total no presentaba condiciones de vulnerabilidad. </w:t>
      </w:r>
    </w:p>
    <w:p w:rsidR="006233CF" w:rsidRDefault="00B75C85" w:rsidP="00DC6E74">
      <w:pPr>
        <w:pStyle w:val="Prrafodelista"/>
        <w:numPr>
          <w:ilvl w:val="0"/>
          <w:numId w:val="36"/>
        </w:numPr>
        <w:spacing w:line="276" w:lineRule="auto"/>
        <w:jc w:val="both"/>
        <w:rPr>
          <w:rFonts w:ascii="Arial" w:hAnsi="Arial" w:cs="Arial"/>
        </w:rPr>
      </w:pPr>
      <w:r w:rsidRPr="000145B6">
        <w:rPr>
          <w:rFonts w:ascii="Arial" w:hAnsi="Arial" w:cs="Arial"/>
        </w:rPr>
        <w:t xml:space="preserve">Al evaluar el agregado de población en vulnerabilidad o riesgo, se calcula que  el 38,4% ejercía las “peores formas de trabajo infantil” y el 53,7% se encontraba en situación de riesgo. </w:t>
      </w:r>
    </w:p>
    <w:p w:rsidR="00B75C85" w:rsidRPr="006233CF" w:rsidRDefault="00B75C85" w:rsidP="00DC6E74">
      <w:pPr>
        <w:pStyle w:val="Prrafodelista"/>
        <w:numPr>
          <w:ilvl w:val="0"/>
          <w:numId w:val="36"/>
        </w:numPr>
        <w:spacing w:line="276" w:lineRule="auto"/>
        <w:jc w:val="both"/>
        <w:rPr>
          <w:rFonts w:ascii="Arial" w:hAnsi="Arial" w:cs="Arial"/>
        </w:rPr>
      </w:pPr>
      <w:r w:rsidRPr="000145B6">
        <w:rPr>
          <w:rFonts w:ascii="Arial" w:hAnsi="Arial" w:cs="Arial"/>
        </w:rPr>
        <w:t xml:space="preserve">La distribución de la población vulnerada o en riesgo entre niños y niñas fue de 8409 (51,91%) y 7792 (48,09%), respectivamente. El trabajo infantil masculino era </w:t>
      </w:r>
      <w:r w:rsidRPr="000145B6">
        <w:rPr>
          <w:rFonts w:ascii="Arial" w:hAnsi="Arial" w:cs="Arial"/>
        </w:rPr>
        <w:lastRenderedPageBreak/>
        <w:t xml:space="preserve">superior (5,3% del total de niños vulnerados, 447) al de las niñas (2,3% del total de niñas vulneradas, 182).  </w:t>
      </w:r>
    </w:p>
    <w:p w:rsidR="00B75C85" w:rsidRPr="000145B6" w:rsidRDefault="00B75C85" w:rsidP="00DC6E74">
      <w:pPr>
        <w:pStyle w:val="Prrafodelista"/>
        <w:numPr>
          <w:ilvl w:val="0"/>
          <w:numId w:val="36"/>
        </w:numPr>
        <w:spacing w:line="276" w:lineRule="auto"/>
        <w:jc w:val="both"/>
        <w:rPr>
          <w:rFonts w:ascii="Arial" w:hAnsi="Arial" w:cs="Arial"/>
        </w:rPr>
      </w:pPr>
      <w:r w:rsidRPr="000145B6">
        <w:rPr>
          <w:rFonts w:ascii="Arial" w:hAnsi="Arial" w:cs="Arial"/>
        </w:rPr>
        <w:t xml:space="preserve">Finalmente, del total de niños y niñas que ejercían trabajo infantil (TI) y peores formas de trabajo infantil (PFTI),  el 1,9% se encontraba en oficios no calificados, el 2% en construcción, el 27,4% en actividades primarias agrícolas, silvicultura, etc. Un 42,1% se ubicaban en otras actividades. </w:t>
      </w:r>
    </w:p>
    <w:p w:rsidR="00B75C85" w:rsidRPr="009B445E" w:rsidRDefault="00B75C85" w:rsidP="003062F0">
      <w:pPr>
        <w:spacing w:line="276" w:lineRule="auto"/>
        <w:jc w:val="both"/>
        <w:rPr>
          <w:rFonts w:ascii="Arial" w:hAnsi="Arial" w:cs="Arial"/>
        </w:rPr>
      </w:pPr>
    </w:p>
    <w:p w:rsidR="00B75C85" w:rsidRPr="009B445E" w:rsidRDefault="00B75C85" w:rsidP="003062F0">
      <w:pPr>
        <w:spacing w:line="276" w:lineRule="auto"/>
        <w:jc w:val="both"/>
        <w:rPr>
          <w:rFonts w:ascii="Arial" w:hAnsi="Arial" w:cs="Arial"/>
        </w:rPr>
      </w:pPr>
      <w:r w:rsidRPr="009B445E">
        <w:rPr>
          <w:rFonts w:ascii="Arial" w:hAnsi="Arial" w:cs="Arial"/>
        </w:rPr>
        <w:t xml:space="preserve">El balance general de estas cifras y que se pueden ver en detalle para </w:t>
      </w:r>
      <w:r>
        <w:rPr>
          <w:rFonts w:ascii="Arial" w:hAnsi="Arial" w:cs="Arial"/>
        </w:rPr>
        <w:t>Bolívar</w:t>
      </w:r>
      <w:r w:rsidRPr="009B445E">
        <w:rPr>
          <w:rFonts w:ascii="Arial" w:hAnsi="Arial" w:cs="Arial"/>
        </w:rPr>
        <w:t xml:space="preserve"> en la tabla siguiente, muestra las condiciones de precariedad de los niños y niñas en el departamento, lo cual amerita una especial atención y esfuerzo tanto en el ámbito nacional, desde dónde ya se vienen adelantando importantes acciones, hasta los ámbitos locales en los que todavía falta un largo camino por recorrer. </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sectPr w:rsidR="00B75C85">
          <w:footerReference w:type="default" r:id="rId40"/>
          <w:pgSz w:w="12240" w:h="15840"/>
          <w:pgMar w:top="1417" w:right="1701" w:bottom="1417" w:left="1701" w:header="708" w:footer="708" w:gutter="0"/>
          <w:cols w:space="708"/>
          <w:docGrid w:linePitch="360"/>
        </w:sectPr>
      </w:pPr>
    </w:p>
    <w:p w:rsidR="00B75C85" w:rsidRPr="00661885" w:rsidRDefault="00B75C85" w:rsidP="00661885">
      <w:pPr>
        <w:pStyle w:val="Epgrafe"/>
        <w:jc w:val="center"/>
        <w:rPr>
          <w:rFonts w:ascii="Arial" w:hAnsi="Arial" w:cs="Arial"/>
          <w:color w:val="auto"/>
          <w:sz w:val="22"/>
          <w:szCs w:val="22"/>
        </w:rPr>
      </w:pPr>
      <w:bookmarkStart w:id="112" w:name="_Toc385844007"/>
      <w:bookmarkStart w:id="113" w:name="_Toc386451954"/>
      <w:bookmarkStart w:id="114" w:name="_Toc387665271"/>
      <w:bookmarkStart w:id="115" w:name="_Toc389667023"/>
      <w:r w:rsidRPr="00661885">
        <w:rPr>
          <w:rFonts w:ascii="Arial" w:hAnsi="Arial" w:cs="Arial"/>
          <w:color w:val="auto"/>
          <w:sz w:val="22"/>
          <w:szCs w:val="22"/>
        </w:rPr>
        <w:lastRenderedPageBreak/>
        <w:t xml:space="preserve">Tabla </w:t>
      </w:r>
      <w:r w:rsidRPr="00661885">
        <w:rPr>
          <w:rFonts w:ascii="Arial" w:hAnsi="Arial" w:cs="Arial"/>
          <w:color w:val="auto"/>
          <w:sz w:val="22"/>
          <w:szCs w:val="22"/>
        </w:rPr>
        <w:fldChar w:fldCharType="begin"/>
      </w:r>
      <w:r w:rsidRPr="00661885">
        <w:rPr>
          <w:rFonts w:ascii="Arial" w:hAnsi="Arial" w:cs="Arial"/>
          <w:color w:val="auto"/>
          <w:sz w:val="22"/>
          <w:szCs w:val="22"/>
        </w:rPr>
        <w:instrText xml:space="preserve"> SEQ Tabla \* ARABIC </w:instrText>
      </w:r>
      <w:r w:rsidRPr="00661885">
        <w:rPr>
          <w:rFonts w:ascii="Arial" w:hAnsi="Arial" w:cs="Arial"/>
          <w:color w:val="auto"/>
          <w:sz w:val="22"/>
          <w:szCs w:val="22"/>
        </w:rPr>
        <w:fldChar w:fldCharType="separate"/>
      </w:r>
      <w:r w:rsidR="00D9744C" w:rsidRPr="00661885">
        <w:rPr>
          <w:rFonts w:ascii="Arial" w:hAnsi="Arial" w:cs="Arial"/>
          <w:color w:val="auto"/>
          <w:sz w:val="22"/>
          <w:szCs w:val="22"/>
        </w:rPr>
        <w:t>10</w:t>
      </w:r>
      <w:r w:rsidRPr="00661885">
        <w:rPr>
          <w:rFonts w:ascii="Arial" w:hAnsi="Arial" w:cs="Arial"/>
          <w:color w:val="auto"/>
          <w:sz w:val="22"/>
          <w:szCs w:val="22"/>
        </w:rPr>
        <w:fldChar w:fldCharType="end"/>
      </w:r>
      <w:r w:rsidRPr="00661885">
        <w:rPr>
          <w:rFonts w:ascii="Arial" w:hAnsi="Arial" w:cs="Arial"/>
          <w:color w:val="auto"/>
          <w:sz w:val="22"/>
          <w:szCs w:val="22"/>
        </w:rPr>
        <w:t>. Bolívar. Cifras SIRITI. Vulnerabilidad General</w:t>
      </w:r>
      <w:bookmarkEnd w:id="112"/>
      <w:bookmarkEnd w:id="113"/>
      <w:bookmarkEnd w:id="114"/>
      <w:bookmarkEnd w:id="115"/>
    </w:p>
    <w:tbl>
      <w:tblPr>
        <w:tblW w:w="0" w:type="auto"/>
        <w:tblInd w:w="55" w:type="dxa"/>
        <w:tblCellMar>
          <w:left w:w="70" w:type="dxa"/>
          <w:right w:w="70" w:type="dxa"/>
        </w:tblCellMar>
        <w:tblLook w:val="04A0" w:firstRow="1" w:lastRow="0" w:firstColumn="1" w:lastColumn="0" w:noHBand="0" w:noVBand="1"/>
      </w:tblPr>
      <w:tblGrid>
        <w:gridCol w:w="904"/>
        <w:gridCol w:w="961"/>
        <w:gridCol w:w="563"/>
        <w:gridCol w:w="1146"/>
        <w:gridCol w:w="1154"/>
        <w:gridCol w:w="992"/>
        <w:gridCol w:w="1081"/>
        <w:gridCol w:w="1284"/>
        <w:gridCol w:w="627"/>
        <w:gridCol w:w="708"/>
        <w:gridCol w:w="895"/>
        <w:gridCol w:w="895"/>
        <w:gridCol w:w="960"/>
        <w:gridCol w:w="919"/>
      </w:tblGrid>
      <w:tr w:rsidR="00B75C85" w:rsidRPr="00436018" w:rsidTr="00212C5E">
        <w:trPr>
          <w:trHeight w:val="20"/>
        </w:trPr>
        <w:tc>
          <w:tcPr>
            <w:tcW w:w="0" w:type="auto"/>
            <w:gridSpan w:val="3"/>
            <w:tcBorders>
              <w:top w:val="single" w:sz="8" w:space="0" w:color="auto"/>
              <w:left w:val="single" w:sz="8" w:space="0" w:color="auto"/>
              <w:bottom w:val="single" w:sz="4" w:space="0" w:color="auto"/>
              <w:right w:val="single" w:sz="4" w:space="0" w:color="000000"/>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Ninguna Vulnerabilidad</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 no vulnerabilidad</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Oficios del Hogar (OH)</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En Riesgo</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En Riesgo y OH</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Trabajo Infantil (TI)</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TI + OH</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Peores Formas de Trabajo Infantil (PFTI)</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PFTI + OH</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Total vulnerados o en riesgo</w:t>
            </w:r>
          </w:p>
        </w:tc>
      </w:tr>
      <w:tr w:rsidR="00B75C85" w:rsidRPr="00436018" w:rsidTr="00212C5E">
        <w:trPr>
          <w:trHeight w:val="20"/>
        </w:trPr>
        <w:tc>
          <w:tcPr>
            <w:tcW w:w="0" w:type="auto"/>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75C85" w:rsidRPr="00436018" w:rsidRDefault="00B75C85" w:rsidP="00212C5E">
            <w:pPr>
              <w:jc w:val="right"/>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Femenino</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998</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11,</w:t>
            </w:r>
            <w:r w:rsidR="00B75C85" w:rsidRPr="00436018">
              <w:rPr>
                <w:rFonts w:ascii="Arial" w:eastAsia="Times New Roman" w:hAnsi="Arial" w:cs="Arial"/>
                <w:color w:val="000000"/>
                <w:sz w:val="18"/>
                <w:szCs w:val="18"/>
                <w:lang w:val="es-CO" w:eastAsia="es-CO"/>
              </w:rPr>
              <w:t>4</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8790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15</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4534</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264</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182</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29</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2608</w:t>
            </w:r>
          </w:p>
        </w:tc>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160</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7792</w:t>
            </w:r>
          </w:p>
        </w:tc>
      </w:tr>
      <w:tr w:rsidR="00B75C85" w:rsidRPr="00436018" w:rsidTr="00212C5E">
        <w:trPr>
          <w:trHeight w:val="20"/>
        </w:trPr>
        <w:tc>
          <w:tcPr>
            <w:tcW w:w="0" w:type="auto"/>
            <w:gridSpan w:val="3"/>
            <w:tcBorders>
              <w:top w:val="single" w:sz="4" w:space="0" w:color="auto"/>
              <w:left w:val="single" w:sz="8" w:space="0" w:color="auto"/>
              <w:bottom w:val="single" w:sz="4" w:space="0" w:color="auto"/>
              <w:right w:val="single" w:sz="4" w:space="0" w:color="auto"/>
            </w:tcBorders>
            <w:shd w:val="clear" w:color="000000" w:fill="FFFFFF"/>
            <w:vAlign w:val="bottom"/>
            <w:hideMark/>
          </w:tcPr>
          <w:p w:rsidR="00B75C85" w:rsidRPr="00436018" w:rsidRDefault="00B75C85" w:rsidP="00212C5E">
            <w:pPr>
              <w:jc w:val="right"/>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 Fila sobre total vulnerados o en riesgo</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2</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58,</w:t>
            </w:r>
            <w:r w:rsidR="00B75C85" w:rsidRPr="00436018">
              <w:rPr>
                <w:rFonts w:ascii="Arial" w:eastAsia="Times New Roman" w:hAnsi="Arial" w:cs="Arial"/>
                <w:color w:val="000000"/>
                <w:sz w:val="18"/>
                <w:szCs w:val="18"/>
                <w:lang w:val="es-CO" w:eastAsia="es-CO"/>
              </w:rPr>
              <w:t>2</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B75C85" w:rsidRPr="00436018">
              <w:rPr>
                <w:rFonts w:ascii="Arial" w:eastAsia="Times New Roman" w:hAnsi="Arial" w:cs="Arial"/>
                <w:color w:val="000000"/>
                <w:sz w:val="18"/>
                <w:szCs w:val="18"/>
                <w:lang w:val="es-CO" w:eastAsia="es-CO"/>
              </w:rPr>
              <w:t>4</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w:t>
            </w:r>
            <w:r w:rsidR="00B75C85" w:rsidRPr="00436018">
              <w:rPr>
                <w:rFonts w:ascii="Arial" w:eastAsia="Times New Roman" w:hAnsi="Arial" w:cs="Arial"/>
                <w:color w:val="000000"/>
                <w:sz w:val="18"/>
                <w:szCs w:val="18"/>
                <w:lang w:val="es-CO" w:eastAsia="es-CO"/>
              </w:rPr>
              <w:t>3</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4</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33,</w:t>
            </w:r>
            <w:r w:rsidR="00B75C85" w:rsidRPr="00436018">
              <w:rPr>
                <w:rFonts w:ascii="Arial" w:eastAsia="Times New Roman" w:hAnsi="Arial" w:cs="Arial"/>
                <w:color w:val="000000"/>
                <w:sz w:val="18"/>
                <w:szCs w:val="18"/>
                <w:lang w:val="es-CO" w:eastAsia="es-CO"/>
              </w:rPr>
              <w:t>5</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w:t>
            </w:r>
            <w:r w:rsidR="00B75C85" w:rsidRPr="00436018">
              <w:rPr>
                <w:rFonts w:ascii="Arial" w:eastAsia="Times New Roman" w:hAnsi="Arial" w:cs="Arial"/>
                <w:color w:val="000000"/>
                <w:sz w:val="18"/>
                <w:szCs w:val="18"/>
                <w:lang w:val="es-CO" w:eastAsia="es-CO"/>
              </w:rPr>
              <w:t>1</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100,</w:t>
            </w:r>
            <w:r w:rsidR="00B75C85" w:rsidRPr="00436018">
              <w:rPr>
                <w:rFonts w:ascii="Arial" w:eastAsia="Times New Roman" w:hAnsi="Arial" w:cs="Arial"/>
                <w:color w:val="000000"/>
                <w:sz w:val="18"/>
                <w:szCs w:val="18"/>
                <w:lang w:val="es-CO" w:eastAsia="es-CO"/>
              </w:rPr>
              <w:t>0</w:t>
            </w:r>
          </w:p>
        </w:tc>
      </w:tr>
      <w:tr w:rsidR="00B75C85" w:rsidRPr="00436018" w:rsidTr="00212C5E">
        <w:trPr>
          <w:trHeight w:val="20"/>
        </w:trPr>
        <w:tc>
          <w:tcPr>
            <w:tcW w:w="0" w:type="auto"/>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75C85" w:rsidRPr="00436018" w:rsidRDefault="00B75C85" w:rsidP="00212C5E">
            <w:pPr>
              <w:jc w:val="right"/>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Masculino</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1099</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561826">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11</w:t>
            </w:r>
            <w:r w:rsidR="00561826">
              <w:rPr>
                <w:rFonts w:ascii="Arial" w:eastAsia="Times New Roman" w:hAnsi="Arial" w:cs="Arial"/>
                <w:color w:val="000000"/>
                <w:sz w:val="18"/>
                <w:szCs w:val="18"/>
                <w:lang w:val="es-CO" w:eastAsia="es-CO"/>
              </w:rPr>
              <w:t>,</w:t>
            </w:r>
            <w:r w:rsidRPr="00436018">
              <w:rPr>
                <w:rFonts w:ascii="Arial" w:eastAsia="Times New Roman" w:hAnsi="Arial" w:cs="Arial"/>
                <w:color w:val="000000"/>
                <w:sz w:val="18"/>
                <w:szCs w:val="18"/>
                <w:lang w:val="es-CO" w:eastAsia="es-CO"/>
              </w:rPr>
              <w:t>6</w:t>
            </w:r>
          </w:p>
        </w:tc>
        <w:tc>
          <w:tcPr>
            <w:tcW w:w="0" w:type="auto"/>
            <w:tcBorders>
              <w:top w:val="nil"/>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9508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0</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4162</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42</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447</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11</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3609</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138</w:t>
            </w:r>
          </w:p>
        </w:tc>
        <w:tc>
          <w:tcPr>
            <w:tcW w:w="0" w:type="auto"/>
            <w:tcBorders>
              <w:top w:val="nil"/>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8409</w:t>
            </w:r>
          </w:p>
        </w:tc>
      </w:tr>
      <w:tr w:rsidR="00B75C85" w:rsidRPr="00436018" w:rsidTr="00212C5E">
        <w:trPr>
          <w:trHeight w:val="20"/>
        </w:trPr>
        <w:tc>
          <w:tcPr>
            <w:tcW w:w="0" w:type="auto"/>
            <w:gridSpan w:val="3"/>
            <w:tcBorders>
              <w:top w:val="single" w:sz="4" w:space="0" w:color="auto"/>
              <w:left w:val="single" w:sz="8" w:space="0" w:color="auto"/>
              <w:bottom w:val="single" w:sz="4" w:space="0" w:color="auto"/>
              <w:right w:val="single" w:sz="4" w:space="0" w:color="auto"/>
            </w:tcBorders>
            <w:shd w:val="clear" w:color="000000" w:fill="FFFFFF"/>
            <w:vAlign w:val="bottom"/>
            <w:hideMark/>
          </w:tcPr>
          <w:p w:rsidR="00B75C85" w:rsidRPr="00436018" w:rsidRDefault="00B75C85" w:rsidP="00212C5E">
            <w:pPr>
              <w:jc w:val="right"/>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 Fila sobre total vulnerados o en riesgo</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0</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49,</w:t>
            </w:r>
            <w:r w:rsidR="00B75C85" w:rsidRPr="00436018">
              <w:rPr>
                <w:rFonts w:ascii="Arial" w:eastAsia="Times New Roman" w:hAnsi="Arial" w:cs="Arial"/>
                <w:color w:val="000000"/>
                <w:sz w:val="18"/>
                <w:szCs w:val="18"/>
                <w:lang w:val="es-CO" w:eastAsia="es-CO"/>
              </w:rPr>
              <w:t>5</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5</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5,</w:t>
            </w:r>
            <w:r w:rsidR="00B75C85" w:rsidRPr="00436018">
              <w:rPr>
                <w:rFonts w:ascii="Arial" w:eastAsia="Times New Roman" w:hAnsi="Arial" w:cs="Arial"/>
                <w:color w:val="000000"/>
                <w:sz w:val="18"/>
                <w:szCs w:val="18"/>
                <w:lang w:val="es-CO" w:eastAsia="es-CO"/>
              </w:rPr>
              <w:t>3</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1</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42,</w:t>
            </w:r>
            <w:r w:rsidR="00B75C85" w:rsidRPr="00436018">
              <w:rPr>
                <w:rFonts w:ascii="Arial" w:eastAsia="Times New Roman" w:hAnsi="Arial" w:cs="Arial"/>
                <w:color w:val="000000"/>
                <w:sz w:val="18"/>
                <w:szCs w:val="18"/>
                <w:lang w:val="es-CO" w:eastAsia="es-CO"/>
              </w:rPr>
              <w:t>9</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B75C85" w:rsidRPr="00436018">
              <w:rPr>
                <w:rFonts w:ascii="Arial" w:eastAsia="Times New Roman" w:hAnsi="Arial" w:cs="Arial"/>
                <w:color w:val="000000"/>
                <w:sz w:val="18"/>
                <w:szCs w:val="18"/>
                <w:lang w:val="es-CO" w:eastAsia="es-CO"/>
              </w:rPr>
              <w:t>6</w:t>
            </w:r>
          </w:p>
        </w:tc>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100,</w:t>
            </w:r>
            <w:r w:rsidR="00B75C85" w:rsidRPr="00436018">
              <w:rPr>
                <w:rFonts w:ascii="Arial" w:eastAsia="Times New Roman" w:hAnsi="Arial" w:cs="Arial"/>
                <w:color w:val="000000"/>
                <w:sz w:val="18"/>
                <w:szCs w:val="18"/>
                <w:lang w:val="es-CO" w:eastAsia="es-CO"/>
              </w:rPr>
              <w:t>0</w:t>
            </w:r>
          </w:p>
        </w:tc>
      </w:tr>
      <w:tr w:rsidR="00B75C85" w:rsidRPr="00436018" w:rsidTr="000145B6">
        <w:trPr>
          <w:trHeight w:val="20"/>
        </w:trPr>
        <w:tc>
          <w:tcPr>
            <w:tcW w:w="0" w:type="auto"/>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75C85" w:rsidRPr="00436018" w:rsidRDefault="00B75C85" w:rsidP="00212C5E">
            <w:pPr>
              <w:jc w:val="right"/>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Total</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2097</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11,</w:t>
            </w:r>
            <w:r w:rsidR="00B75C85" w:rsidRPr="00436018">
              <w:rPr>
                <w:rFonts w:ascii="Arial" w:eastAsia="Times New Roman" w:hAnsi="Arial" w:cs="Arial"/>
                <w:color w:val="000000"/>
                <w:sz w:val="18"/>
                <w:szCs w:val="18"/>
                <w:lang w:val="es-CO" w:eastAsia="es-CO"/>
              </w:rPr>
              <w:t>5</w:t>
            </w:r>
          </w:p>
        </w:tc>
        <w:tc>
          <w:tcPr>
            <w:tcW w:w="0" w:type="auto"/>
            <w:tcBorders>
              <w:top w:val="nil"/>
              <w:left w:val="nil"/>
              <w:bottom w:val="single" w:sz="4" w:space="0" w:color="auto"/>
              <w:right w:val="single" w:sz="8" w:space="0" w:color="auto"/>
            </w:tcBorders>
            <w:shd w:val="clear" w:color="auto" w:fill="F2F2F2" w:themeFill="background1" w:themeFillShade="F2"/>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18298</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15</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8696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306</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629</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40</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6217</w:t>
            </w:r>
          </w:p>
        </w:tc>
        <w:tc>
          <w:tcPr>
            <w:tcW w:w="0" w:type="auto"/>
            <w:tcBorders>
              <w:top w:val="nil"/>
              <w:left w:val="nil"/>
              <w:bottom w:val="single" w:sz="4" w:space="0" w:color="auto"/>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298</w:t>
            </w:r>
          </w:p>
        </w:tc>
        <w:tc>
          <w:tcPr>
            <w:tcW w:w="0" w:type="auto"/>
            <w:tcBorders>
              <w:top w:val="nil"/>
              <w:left w:val="nil"/>
              <w:bottom w:val="single" w:sz="4" w:space="0" w:color="auto"/>
              <w:right w:val="single" w:sz="8" w:space="0" w:color="auto"/>
            </w:tcBorders>
            <w:shd w:val="clear" w:color="auto" w:fill="F2F2F2" w:themeFill="background1" w:themeFillShade="F2"/>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16201</w:t>
            </w:r>
          </w:p>
        </w:tc>
      </w:tr>
      <w:tr w:rsidR="00B75C85" w:rsidRPr="00436018" w:rsidTr="00212C5E">
        <w:trPr>
          <w:trHeight w:val="20"/>
        </w:trPr>
        <w:tc>
          <w:tcPr>
            <w:tcW w:w="0" w:type="auto"/>
            <w:gridSpan w:val="3"/>
            <w:tcBorders>
              <w:top w:val="single" w:sz="4" w:space="0" w:color="auto"/>
              <w:left w:val="single" w:sz="8" w:space="0" w:color="auto"/>
              <w:bottom w:val="nil"/>
              <w:right w:val="single" w:sz="4" w:space="0" w:color="auto"/>
            </w:tcBorders>
            <w:shd w:val="clear" w:color="000000" w:fill="FFFFFF"/>
            <w:vAlign w:val="bottom"/>
            <w:hideMark/>
          </w:tcPr>
          <w:p w:rsidR="00B75C85" w:rsidRPr="00436018" w:rsidRDefault="00B75C85" w:rsidP="00212C5E">
            <w:pPr>
              <w:jc w:val="right"/>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 Fila sobre total vulnerados o en riesgo</w:t>
            </w:r>
          </w:p>
        </w:tc>
        <w:tc>
          <w:tcPr>
            <w:tcW w:w="0" w:type="auto"/>
            <w:tcBorders>
              <w:top w:val="nil"/>
              <w:left w:val="nil"/>
              <w:bottom w:val="nil"/>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nil"/>
              <w:right w:val="single" w:sz="4"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nil"/>
              <w:right w:val="single" w:sz="8" w:space="0" w:color="auto"/>
            </w:tcBorders>
            <w:shd w:val="clear" w:color="000000" w:fill="FFFFFF"/>
            <w:noWrap/>
            <w:vAlign w:val="center"/>
            <w:hideMark/>
          </w:tcPr>
          <w:p w:rsidR="00B75C85" w:rsidRPr="00436018" w:rsidRDefault="00B75C85" w:rsidP="00212C5E">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w:t>
            </w:r>
          </w:p>
        </w:tc>
        <w:tc>
          <w:tcPr>
            <w:tcW w:w="0" w:type="auto"/>
            <w:tcBorders>
              <w:top w:val="nil"/>
              <w:left w:val="nil"/>
              <w:bottom w:val="nil"/>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1</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53,</w:t>
            </w:r>
            <w:r w:rsidR="00B75C85" w:rsidRPr="00436018">
              <w:rPr>
                <w:rFonts w:ascii="Arial" w:eastAsia="Times New Roman" w:hAnsi="Arial" w:cs="Arial"/>
                <w:color w:val="000000"/>
                <w:sz w:val="18"/>
                <w:szCs w:val="18"/>
                <w:lang w:val="es-CO" w:eastAsia="es-CO"/>
              </w:rPr>
              <w:t>7</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B75C85" w:rsidRPr="00436018">
              <w:rPr>
                <w:rFonts w:ascii="Arial" w:eastAsia="Times New Roman" w:hAnsi="Arial" w:cs="Arial"/>
                <w:color w:val="000000"/>
                <w:sz w:val="18"/>
                <w:szCs w:val="18"/>
                <w:lang w:val="es-CO" w:eastAsia="es-CO"/>
              </w:rPr>
              <w:t>9</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B75C85" w:rsidP="00561826">
            <w:pPr>
              <w:jc w:val="center"/>
              <w:rPr>
                <w:rFonts w:ascii="Arial" w:eastAsia="Times New Roman" w:hAnsi="Arial" w:cs="Arial"/>
                <w:color w:val="000000"/>
                <w:sz w:val="18"/>
                <w:szCs w:val="18"/>
                <w:lang w:val="es-CO" w:eastAsia="es-CO"/>
              </w:rPr>
            </w:pPr>
            <w:r w:rsidRPr="00436018">
              <w:rPr>
                <w:rFonts w:ascii="Arial" w:eastAsia="Times New Roman" w:hAnsi="Arial" w:cs="Arial"/>
                <w:color w:val="000000"/>
                <w:sz w:val="18"/>
                <w:szCs w:val="18"/>
                <w:lang w:val="es-CO" w:eastAsia="es-CO"/>
              </w:rPr>
              <w:t>3</w:t>
            </w:r>
            <w:r w:rsidR="00561826">
              <w:rPr>
                <w:rFonts w:ascii="Arial" w:eastAsia="Times New Roman" w:hAnsi="Arial" w:cs="Arial"/>
                <w:color w:val="000000"/>
                <w:sz w:val="18"/>
                <w:szCs w:val="18"/>
                <w:lang w:val="es-CO" w:eastAsia="es-CO"/>
              </w:rPr>
              <w:t>,</w:t>
            </w:r>
            <w:r w:rsidRPr="00436018">
              <w:rPr>
                <w:rFonts w:ascii="Arial" w:eastAsia="Times New Roman" w:hAnsi="Arial" w:cs="Arial"/>
                <w:color w:val="000000"/>
                <w:sz w:val="18"/>
                <w:szCs w:val="18"/>
                <w:lang w:val="es-CO" w:eastAsia="es-CO"/>
              </w:rPr>
              <w:t>9</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2</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38,</w:t>
            </w:r>
            <w:r w:rsidR="00B75C85" w:rsidRPr="00436018">
              <w:rPr>
                <w:rFonts w:ascii="Arial" w:eastAsia="Times New Roman" w:hAnsi="Arial" w:cs="Arial"/>
                <w:color w:val="000000"/>
                <w:sz w:val="18"/>
                <w:szCs w:val="18"/>
                <w:lang w:val="es-CO" w:eastAsia="es-CO"/>
              </w:rPr>
              <w:t>4</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B75C85" w:rsidRPr="00436018">
              <w:rPr>
                <w:rFonts w:ascii="Arial" w:eastAsia="Times New Roman" w:hAnsi="Arial" w:cs="Arial"/>
                <w:color w:val="000000"/>
                <w:sz w:val="18"/>
                <w:szCs w:val="18"/>
                <w:lang w:val="es-CO" w:eastAsia="es-CO"/>
              </w:rPr>
              <w:t>8</w:t>
            </w:r>
          </w:p>
        </w:tc>
        <w:tc>
          <w:tcPr>
            <w:tcW w:w="0" w:type="auto"/>
            <w:tcBorders>
              <w:top w:val="nil"/>
              <w:left w:val="single" w:sz="8" w:space="0" w:color="auto"/>
              <w:bottom w:val="nil"/>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100,</w:t>
            </w:r>
            <w:r w:rsidR="00B75C85" w:rsidRPr="00436018">
              <w:rPr>
                <w:rFonts w:ascii="Arial" w:eastAsia="Times New Roman" w:hAnsi="Arial" w:cs="Arial"/>
                <w:color w:val="000000"/>
                <w:sz w:val="18"/>
                <w:szCs w:val="18"/>
                <w:lang w:val="es-CO" w:eastAsia="es-CO"/>
              </w:rPr>
              <w:t>0</w:t>
            </w:r>
          </w:p>
        </w:tc>
      </w:tr>
      <w:tr w:rsidR="00B75C85" w:rsidRPr="00436018" w:rsidTr="00212C5E">
        <w:trPr>
          <w:trHeight w:val="20"/>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Actividad económica</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Agricultura, ganadería, caza y silvicultura</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Pesca</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Explotación de minas y canteras</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Industria manufacturera</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Suministro de electricidad, agua y gas</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Construcción</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Transporte y almacenamiento</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Salud</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Defensa</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Trabajos no calificados</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Oficios no calificados</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Otras Actividades</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Total en trabajo infantil y peores formas de trabajo infantil</w:t>
            </w:r>
          </w:p>
        </w:tc>
      </w:tr>
      <w:tr w:rsidR="00B75C85" w:rsidRPr="00436018" w:rsidTr="00212C5E">
        <w:trPr>
          <w:trHeight w:val="20"/>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B75C85" w:rsidRPr="00436018" w:rsidRDefault="00B75C85" w:rsidP="00212C5E">
            <w:pPr>
              <w:jc w:val="center"/>
              <w:rPr>
                <w:rFonts w:ascii="Arial" w:eastAsia="Times New Roman" w:hAnsi="Arial" w:cs="Arial"/>
                <w:b/>
                <w:bCs/>
                <w:color w:val="000000"/>
                <w:sz w:val="18"/>
                <w:szCs w:val="18"/>
                <w:lang w:val="es-CO" w:eastAsia="es-CO"/>
              </w:rPr>
            </w:pPr>
            <w:r w:rsidRPr="00436018">
              <w:rPr>
                <w:rFonts w:ascii="Arial" w:eastAsia="Times New Roman" w:hAnsi="Arial" w:cs="Arial"/>
                <w:b/>
                <w:bCs/>
                <w:color w:val="000000"/>
                <w:sz w:val="18"/>
                <w:szCs w:val="18"/>
                <w:lang w:val="es-CO" w:eastAsia="es-CO"/>
              </w:rPr>
              <w:t>% sobre total en TI + PFTI</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27,</w:t>
            </w:r>
            <w:r w:rsidR="00B75C85" w:rsidRPr="00436018">
              <w:rPr>
                <w:rFonts w:ascii="Arial" w:eastAsia="Times New Roman" w:hAnsi="Arial" w:cs="Arial"/>
                <w:color w:val="000000"/>
                <w:sz w:val="18"/>
                <w:szCs w:val="18"/>
                <w:lang w:val="es-CO" w:eastAsia="es-CO"/>
              </w:rPr>
              <w:t>4</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B75C85" w:rsidRPr="00436018">
              <w:rPr>
                <w:rFonts w:ascii="Arial" w:eastAsia="Times New Roman" w:hAnsi="Arial" w:cs="Arial"/>
                <w:color w:val="000000"/>
                <w:sz w:val="18"/>
                <w:szCs w:val="18"/>
                <w:lang w:val="es-CO" w:eastAsia="es-CO"/>
              </w:rPr>
              <w:t>1</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19,</w:t>
            </w:r>
            <w:r w:rsidR="00B75C85" w:rsidRPr="00436018">
              <w:rPr>
                <w:rFonts w:ascii="Arial" w:eastAsia="Times New Roman" w:hAnsi="Arial" w:cs="Arial"/>
                <w:color w:val="000000"/>
                <w:sz w:val="18"/>
                <w:szCs w:val="18"/>
                <w:lang w:val="es-CO" w:eastAsia="es-CO"/>
              </w:rPr>
              <w:t>2</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2</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1</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w:t>
            </w:r>
            <w:r w:rsidR="00B75C85" w:rsidRPr="00436018">
              <w:rPr>
                <w:rFonts w:ascii="Arial" w:eastAsia="Times New Roman" w:hAnsi="Arial" w:cs="Arial"/>
                <w:color w:val="000000"/>
                <w:sz w:val="18"/>
                <w:szCs w:val="18"/>
                <w:lang w:val="es-CO" w:eastAsia="es-CO"/>
              </w:rPr>
              <w:t>0</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B75C85" w:rsidRPr="00436018">
              <w:rPr>
                <w:rFonts w:ascii="Arial" w:eastAsia="Times New Roman" w:hAnsi="Arial" w:cs="Arial"/>
                <w:color w:val="000000"/>
                <w:sz w:val="18"/>
                <w:szCs w:val="18"/>
                <w:lang w:val="es-CO" w:eastAsia="es-CO"/>
              </w:rPr>
              <w:t>5</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1</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B75C85" w:rsidRPr="00436018">
              <w:rPr>
                <w:rFonts w:ascii="Arial" w:eastAsia="Times New Roman" w:hAnsi="Arial" w:cs="Arial"/>
                <w:color w:val="000000"/>
                <w:sz w:val="18"/>
                <w:szCs w:val="18"/>
                <w:lang w:val="es-CO" w:eastAsia="es-CO"/>
              </w:rPr>
              <w:t>0</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w:t>
            </w:r>
            <w:r w:rsidR="00B75C85" w:rsidRPr="00436018">
              <w:rPr>
                <w:rFonts w:ascii="Arial" w:eastAsia="Times New Roman" w:hAnsi="Arial" w:cs="Arial"/>
                <w:color w:val="000000"/>
                <w:sz w:val="18"/>
                <w:szCs w:val="18"/>
                <w:lang w:val="es-CO" w:eastAsia="es-CO"/>
              </w:rPr>
              <w:t>4</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561826"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B75C85" w:rsidRPr="00436018">
              <w:rPr>
                <w:rFonts w:ascii="Arial" w:eastAsia="Times New Roman" w:hAnsi="Arial" w:cs="Arial"/>
                <w:color w:val="000000"/>
                <w:sz w:val="18"/>
                <w:szCs w:val="18"/>
                <w:lang w:val="es-CO" w:eastAsia="es-CO"/>
              </w:rPr>
              <w:t>9</w:t>
            </w:r>
          </w:p>
        </w:tc>
        <w:tc>
          <w:tcPr>
            <w:tcW w:w="0" w:type="auto"/>
            <w:tcBorders>
              <w:top w:val="nil"/>
              <w:left w:val="nil"/>
              <w:bottom w:val="single" w:sz="8" w:space="0" w:color="auto"/>
              <w:right w:val="single" w:sz="4"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42,</w:t>
            </w:r>
            <w:r w:rsidR="00B75C85" w:rsidRPr="00436018">
              <w:rPr>
                <w:rFonts w:ascii="Arial" w:eastAsia="Times New Roman" w:hAnsi="Arial" w:cs="Arial"/>
                <w:color w:val="000000"/>
                <w:sz w:val="18"/>
                <w:szCs w:val="18"/>
                <w:lang w:val="es-CO" w:eastAsia="es-CO"/>
              </w:rPr>
              <w:t>1</w:t>
            </w:r>
          </w:p>
        </w:tc>
        <w:tc>
          <w:tcPr>
            <w:tcW w:w="0" w:type="auto"/>
            <w:tcBorders>
              <w:top w:val="nil"/>
              <w:left w:val="nil"/>
              <w:bottom w:val="single" w:sz="8" w:space="0" w:color="auto"/>
              <w:right w:val="single" w:sz="8" w:space="0" w:color="auto"/>
            </w:tcBorders>
            <w:shd w:val="clear" w:color="000000" w:fill="FFFFFF"/>
            <w:noWrap/>
            <w:vAlign w:val="center"/>
            <w:hideMark/>
          </w:tcPr>
          <w:p w:rsidR="00B75C85" w:rsidRPr="00436018" w:rsidRDefault="006B447B" w:rsidP="00212C5E">
            <w:pPr>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100,</w:t>
            </w:r>
            <w:r w:rsidR="00B75C85" w:rsidRPr="00436018">
              <w:rPr>
                <w:rFonts w:ascii="Arial" w:eastAsia="Times New Roman" w:hAnsi="Arial" w:cs="Arial"/>
                <w:color w:val="000000"/>
                <w:sz w:val="18"/>
                <w:szCs w:val="18"/>
                <w:lang w:val="es-CO" w:eastAsia="es-CO"/>
              </w:rPr>
              <w:t>0</w:t>
            </w:r>
          </w:p>
        </w:tc>
      </w:tr>
    </w:tbl>
    <w:p w:rsidR="00B75C85" w:rsidRPr="00F4232B" w:rsidRDefault="00B75C85" w:rsidP="00B75C85">
      <w:pPr>
        <w:autoSpaceDE w:val="0"/>
        <w:autoSpaceDN w:val="0"/>
        <w:adjustRightInd w:val="0"/>
        <w:jc w:val="center"/>
        <w:rPr>
          <w:rFonts w:ascii="Arial" w:hAnsi="Arial" w:cs="Arial"/>
          <w:bCs/>
          <w:sz w:val="18"/>
          <w:szCs w:val="18"/>
          <w:lang w:eastAsia="es-ES"/>
        </w:rPr>
      </w:pPr>
      <w:r w:rsidRPr="00770E5B">
        <w:rPr>
          <w:rFonts w:ascii="Arial" w:hAnsi="Arial" w:cs="Arial"/>
          <w:bCs/>
          <w:sz w:val="18"/>
          <w:szCs w:val="18"/>
          <w:lang w:eastAsia="es-ES"/>
        </w:rPr>
        <w:t>Fuente: SIRITI - Ministerio del trabajo, 2012.</w:t>
      </w: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pPr>
    </w:p>
    <w:p w:rsidR="00B75C85" w:rsidRDefault="00B75C85" w:rsidP="00B75C85">
      <w:pPr>
        <w:spacing w:before="100" w:after="100"/>
        <w:jc w:val="both"/>
        <w:rPr>
          <w:rFonts w:ascii="Arial" w:hAnsi="Arial" w:cs="Arial"/>
        </w:rPr>
        <w:sectPr w:rsidR="00B75C85" w:rsidSect="00212C5E">
          <w:pgSz w:w="15840" w:h="12240" w:orient="landscape"/>
          <w:pgMar w:top="1701" w:right="1418" w:bottom="1701" w:left="1418" w:header="709" w:footer="709" w:gutter="0"/>
          <w:cols w:space="708"/>
          <w:docGrid w:linePitch="360"/>
        </w:sectPr>
      </w:pPr>
    </w:p>
    <w:p w:rsidR="00B75C85" w:rsidRPr="00A021C6" w:rsidRDefault="00B75C85" w:rsidP="00B75C85">
      <w:pPr>
        <w:autoSpaceDE w:val="0"/>
        <w:autoSpaceDN w:val="0"/>
        <w:adjustRightInd w:val="0"/>
        <w:spacing w:line="276" w:lineRule="auto"/>
        <w:jc w:val="both"/>
        <w:rPr>
          <w:rFonts w:ascii="Arial" w:eastAsiaTheme="minorHAnsi" w:hAnsi="Arial" w:cs="Arial"/>
          <w:color w:val="C00000"/>
          <w:lang w:val="es-CO"/>
        </w:rPr>
      </w:pPr>
    </w:p>
    <w:p w:rsidR="00B75C85" w:rsidRPr="00A021C6" w:rsidRDefault="00987907" w:rsidP="00987907">
      <w:pPr>
        <w:keepNext/>
        <w:keepLines/>
        <w:spacing w:after="200" w:line="276" w:lineRule="auto"/>
        <w:ind w:left="432"/>
        <w:outlineLvl w:val="0"/>
        <w:rPr>
          <w:rFonts w:ascii="Arial" w:eastAsia="Times New Roman" w:hAnsi="Arial" w:cs="Arial"/>
          <w:b/>
          <w:bCs/>
          <w:color w:val="C00000"/>
          <w:sz w:val="24"/>
          <w:szCs w:val="24"/>
        </w:rPr>
      </w:pPr>
      <w:bookmarkStart w:id="116" w:name="_Toc362877886"/>
      <w:bookmarkStart w:id="117" w:name="_Toc362877887"/>
      <w:bookmarkStart w:id="118" w:name="_Toc362877893"/>
      <w:bookmarkStart w:id="119" w:name="_Toc362877896"/>
      <w:bookmarkStart w:id="120" w:name="_Toc385001360"/>
      <w:bookmarkStart w:id="121" w:name="_Toc385418229"/>
      <w:bookmarkStart w:id="122" w:name="_Toc386007250"/>
      <w:bookmarkStart w:id="123" w:name="_Toc389666626"/>
      <w:bookmarkEnd w:id="116"/>
      <w:bookmarkEnd w:id="117"/>
      <w:bookmarkEnd w:id="118"/>
      <w:bookmarkEnd w:id="119"/>
      <w:r>
        <w:rPr>
          <w:rFonts w:ascii="Arial" w:eastAsia="Times New Roman" w:hAnsi="Arial" w:cs="Arial"/>
          <w:b/>
          <w:bCs/>
          <w:color w:val="C00000"/>
          <w:sz w:val="24"/>
          <w:szCs w:val="24"/>
        </w:rPr>
        <w:t xml:space="preserve">4. </w:t>
      </w:r>
      <w:r w:rsidR="00B75C85" w:rsidRPr="00A021C6">
        <w:rPr>
          <w:rFonts w:ascii="Arial" w:eastAsia="Times New Roman" w:hAnsi="Arial" w:cs="Arial"/>
          <w:b/>
          <w:bCs/>
          <w:color w:val="C00000"/>
          <w:sz w:val="24"/>
          <w:szCs w:val="24"/>
        </w:rPr>
        <w:t>Factores que afectan el mercado laboral en el departamento</w:t>
      </w:r>
      <w:bookmarkEnd w:id="120"/>
      <w:bookmarkEnd w:id="121"/>
      <w:bookmarkEnd w:id="122"/>
      <w:bookmarkEnd w:id="123"/>
    </w:p>
    <w:p w:rsidR="00B75C85" w:rsidRPr="00983C84" w:rsidRDefault="00B75C85" w:rsidP="00B75C85">
      <w:pPr>
        <w:spacing w:line="276" w:lineRule="auto"/>
        <w:jc w:val="both"/>
        <w:rPr>
          <w:rFonts w:ascii="Arial" w:hAnsi="Arial" w:cs="Arial"/>
        </w:rPr>
      </w:pPr>
      <w:r w:rsidRPr="00983C84">
        <w:rPr>
          <w:rFonts w:ascii="Arial" w:hAnsi="Arial" w:cs="Arial"/>
        </w:rPr>
        <w:t>Los principales problemas de empleo del departamento están asociados al poco dinamismo de los sectores económicos, al alto nivel de desigualdad y al bajo nivel de emprendimientos y desajustes entre la demanda y la oferta laboral.</w:t>
      </w:r>
    </w:p>
    <w:p w:rsidR="00B75C85" w:rsidRDefault="00B75C85" w:rsidP="00B75C85">
      <w:pPr>
        <w:autoSpaceDE w:val="0"/>
        <w:autoSpaceDN w:val="0"/>
        <w:adjustRightInd w:val="0"/>
        <w:spacing w:line="276" w:lineRule="auto"/>
        <w:jc w:val="both"/>
        <w:rPr>
          <w:rFonts w:ascii="Arial" w:eastAsiaTheme="minorHAnsi" w:hAnsi="Arial" w:cs="Arial"/>
        </w:rPr>
      </w:pPr>
    </w:p>
    <w:p w:rsidR="00B75C85" w:rsidRPr="00A021C6" w:rsidRDefault="00987907" w:rsidP="00987907">
      <w:pPr>
        <w:pStyle w:val="Ttulo2"/>
        <w:spacing w:before="0" w:line="276" w:lineRule="auto"/>
        <w:ind w:left="576"/>
        <w:rPr>
          <w:rFonts w:ascii="Arial" w:hAnsi="Arial" w:cs="Arial"/>
          <w:color w:val="C00000"/>
          <w:sz w:val="22"/>
          <w:szCs w:val="22"/>
        </w:rPr>
      </w:pPr>
      <w:bookmarkStart w:id="124" w:name="_Toc361438130"/>
      <w:bookmarkStart w:id="125" w:name="_Toc361951338"/>
      <w:bookmarkStart w:id="126" w:name="_Toc385001361"/>
      <w:bookmarkStart w:id="127" w:name="_Toc385418230"/>
      <w:bookmarkStart w:id="128" w:name="_Toc386007251"/>
      <w:bookmarkStart w:id="129" w:name="_Toc389666627"/>
      <w:r>
        <w:rPr>
          <w:rFonts w:ascii="Arial" w:hAnsi="Arial" w:cs="Arial"/>
          <w:color w:val="C00000"/>
          <w:sz w:val="22"/>
          <w:szCs w:val="22"/>
        </w:rPr>
        <w:t xml:space="preserve">4.1 </w:t>
      </w:r>
      <w:r w:rsidR="00B75C85" w:rsidRPr="00A021C6">
        <w:rPr>
          <w:rFonts w:ascii="Arial" w:hAnsi="Arial" w:cs="Arial"/>
          <w:color w:val="C00000"/>
          <w:sz w:val="22"/>
          <w:szCs w:val="22"/>
        </w:rPr>
        <w:t>Crecimiento económico y demanda</w:t>
      </w:r>
      <w:bookmarkEnd w:id="124"/>
      <w:bookmarkEnd w:id="125"/>
      <w:bookmarkEnd w:id="126"/>
      <w:bookmarkEnd w:id="127"/>
      <w:bookmarkEnd w:id="128"/>
      <w:bookmarkEnd w:id="129"/>
    </w:p>
    <w:p w:rsidR="00B75C85" w:rsidRDefault="00B75C85" w:rsidP="00B75C85">
      <w:pPr>
        <w:autoSpaceDE w:val="0"/>
        <w:autoSpaceDN w:val="0"/>
        <w:adjustRightInd w:val="0"/>
        <w:spacing w:line="276" w:lineRule="auto"/>
        <w:jc w:val="both"/>
        <w:rPr>
          <w:rFonts w:ascii="Arial" w:eastAsiaTheme="minorHAnsi" w:hAnsi="Arial" w:cs="Arial"/>
        </w:rPr>
      </w:pPr>
    </w:p>
    <w:p w:rsidR="00B75C85" w:rsidRPr="00983C84" w:rsidRDefault="00B75C85" w:rsidP="00B75C85">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En el período 2001–2011 la economía de Bolívar se consolidó como la séptima más grande del país. Este crecimiento económico fue impulsado principalmente por la actividad de construcción de edificaciones y de obras públicas (con 41% y 15,5%, promedio anual en el periodo 2001 - 2010, respectivamente); las actividades de servicios a las empresas (8% en el mismo lapso), las de correo y telecomunicaciones (13,5%), el transporte por vía terrestre (8,3%), y la extracción de petróleo crudo y de gas natural (14% anual durante el periodo mencionado).</w:t>
      </w:r>
    </w:p>
    <w:p w:rsidR="00B75C85" w:rsidRPr="00983C84" w:rsidRDefault="00B75C85" w:rsidP="00B75C85">
      <w:pPr>
        <w:autoSpaceDE w:val="0"/>
        <w:autoSpaceDN w:val="0"/>
        <w:adjustRightInd w:val="0"/>
        <w:spacing w:line="276" w:lineRule="auto"/>
        <w:jc w:val="both"/>
        <w:rPr>
          <w:rFonts w:ascii="Arial" w:eastAsiaTheme="minorHAnsi" w:hAnsi="Arial" w:cs="Arial"/>
          <w:lang w:val="es-CO"/>
        </w:rPr>
      </w:pPr>
    </w:p>
    <w:p w:rsidR="00B75C85" w:rsidRPr="00983C84" w:rsidRDefault="00B75C85" w:rsidP="00B75C85">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Sin embargo, cabe resaltar que la mayoría de los sectores que más aportaron a la dinámica de la economía departamental se encuentran asentados en la capital, Cartagena, lo que pone en evidencia que el mayor aprovechamiento de la fuerte expansión económica fue para la ciudad.</w:t>
      </w:r>
    </w:p>
    <w:p w:rsidR="00B75C85" w:rsidRPr="00983C84"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983C84">
        <w:rPr>
          <w:rFonts w:ascii="Arial" w:eastAsiaTheme="minorHAnsi" w:hAnsi="Arial" w:cs="Arial"/>
          <w:lang w:val="es-CO"/>
        </w:rPr>
        <w:t xml:space="preserve">La agricultura, uno de los sectores que más demanda mano de obra, creció durante el periodo mencionado un 7,3%, dinámica que está influenciada por el auge de la siembra y procesamiento de la palma africana, yuca y ñame. No obstante, para la Secretaría de Agricultura del departamento, la agricultura de </w:t>
      </w:r>
      <w:r w:rsidR="00601EF8" w:rsidRPr="00983C84">
        <w:rPr>
          <w:rFonts w:ascii="Arial" w:eastAsiaTheme="minorHAnsi" w:hAnsi="Arial" w:cs="Arial"/>
          <w:lang w:val="es-CO"/>
        </w:rPr>
        <w:t>pan coger</w:t>
      </w:r>
      <w:r w:rsidRPr="00983C84">
        <w:rPr>
          <w:rFonts w:ascii="Arial" w:eastAsiaTheme="minorHAnsi" w:hAnsi="Arial" w:cs="Arial"/>
          <w:lang w:val="es-CO"/>
        </w:rPr>
        <w:t xml:space="preserve"> (o campesina), esencial para la seguridad alimentaria, decayó en -0,4%. Los sectores más dinámicos de la economía departamental corresponden a la industria petroquímica, comercio y hoteles, servicios personales, transporte, comunicaciones y logística. Así mismo, son los que más contribuyen a la vinculación de la fuerza de trabajo en el territorio.</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0D2C52" w:rsidRDefault="00B75C85" w:rsidP="000D2C52">
      <w:pPr>
        <w:pStyle w:val="Epgrafe"/>
        <w:jc w:val="center"/>
        <w:rPr>
          <w:rFonts w:ascii="Arial" w:hAnsi="Arial" w:cs="Arial"/>
          <w:color w:val="auto"/>
          <w:sz w:val="22"/>
          <w:szCs w:val="22"/>
        </w:rPr>
      </w:pPr>
      <w:bookmarkStart w:id="130" w:name="_Toc389666980"/>
      <w:r w:rsidRPr="000D2C52">
        <w:rPr>
          <w:rFonts w:ascii="Arial" w:hAnsi="Arial" w:cs="Arial"/>
          <w:color w:val="auto"/>
          <w:sz w:val="22"/>
          <w:szCs w:val="22"/>
        </w:rPr>
        <w:t xml:space="preserve">Gráfico </w:t>
      </w:r>
      <w:r w:rsidRPr="000D2C52">
        <w:rPr>
          <w:rFonts w:ascii="Arial" w:hAnsi="Arial" w:cs="Arial"/>
          <w:color w:val="auto"/>
          <w:sz w:val="22"/>
          <w:szCs w:val="22"/>
        </w:rPr>
        <w:fldChar w:fldCharType="begin"/>
      </w:r>
      <w:r w:rsidRPr="000D2C52">
        <w:rPr>
          <w:rFonts w:ascii="Arial" w:hAnsi="Arial" w:cs="Arial"/>
          <w:color w:val="auto"/>
          <w:sz w:val="22"/>
          <w:szCs w:val="22"/>
        </w:rPr>
        <w:instrText xml:space="preserve"> SEQ Gráfico \* ARABIC </w:instrText>
      </w:r>
      <w:r w:rsidRPr="000D2C52">
        <w:rPr>
          <w:rFonts w:ascii="Arial" w:hAnsi="Arial" w:cs="Arial"/>
          <w:color w:val="auto"/>
          <w:sz w:val="22"/>
          <w:szCs w:val="22"/>
        </w:rPr>
        <w:fldChar w:fldCharType="separate"/>
      </w:r>
      <w:r w:rsidR="00D9744C" w:rsidRPr="000D2C52">
        <w:rPr>
          <w:rFonts w:ascii="Arial" w:hAnsi="Arial" w:cs="Arial"/>
          <w:color w:val="auto"/>
          <w:sz w:val="22"/>
          <w:szCs w:val="22"/>
        </w:rPr>
        <w:t>24</w:t>
      </w:r>
      <w:r w:rsidRPr="000D2C52">
        <w:rPr>
          <w:rFonts w:ascii="Arial" w:hAnsi="Arial" w:cs="Arial"/>
          <w:color w:val="auto"/>
          <w:sz w:val="22"/>
          <w:szCs w:val="22"/>
        </w:rPr>
        <w:fldChar w:fldCharType="end"/>
      </w:r>
      <w:r w:rsidR="00A021C6" w:rsidRPr="000D2C52">
        <w:rPr>
          <w:rFonts w:ascii="Arial" w:hAnsi="Arial" w:cs="Arial"/>
          <w:color w:val="auto"/>
          <w:sz w:val="22"/>
          <w:szCs w:val="22"/>
        </w:rPr>
        <w:t>.</w:t>
      </w:r>
      <w:r w:rsidRPr="000D2C52">
        <w:rPr>
          <w:rFonts w:ascii="Arial" w:hAnsi="Arial" w:cs="Arial"/>
          <w:color w:val="auto"/>
          <w:sz w:val="22"/>
          <w:szCs w:val="22"/>
        </w:rPr>
        <w:t xml:space="preserve"> Participación de sectores en el PIB Bolívar</w:t>
      </w:r>
      <w:bookmarkEnd w:id="130"/>
    </w:p>
    <w:p w:rsidR="00B75C85" w:rsidRDefault="00B75C85" w:rsidP="00B75C85">
      <w:pPr>
        <w:autoSpaceDE w:val="0"/>
        <w:autoSpaceDN w:val="0"/>
        <w:adjustRightInd w:val="0"/>
        <w:spacing w:line="276" w:lineRule="auto"/>
        <w:jc w:val="both"/>
        <w:rPr>
          <w:rFonts w:ascii="Arial" w:eastAsiaTheme="minorHAnsi" w:hAnsi="Arial" w:cs="Arial"/>
        </w:rPr>
      </w:pPr>
      <w:r>
        <w:rPr>
          <w:noProof/>
          <w:lang w:eastAsia="es-ES"/>
        </w:rPr>
        <w:drawing>
          <wp:inline distT="0" distB="0" distL="0" distR="0" wp14:anchorId="59A40731" wp14:editId="04B4C94E">
            <wp:extent cx="5295331" cy="2333767"/>
            <wp:effectExtent l="0" t="0" r="635" b="0"/>
            <wp:docPr id="56"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75C85" w:rsidRPr="00A021C6"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A021C6">
        <w:rPr>
          <w:rFonts w:ascii="Arial" w:eastAsiaTheme="minorHAnsi" w:hAnsi="Arial" w:cs="Arial"/>
          <w:sz w:val="18"/>
          <w:szCs w:val="18"/>
          <w:lang w:val="es-CO"/>
        </w:rPr>
        <w:t>Fuente: DANE. Cálculos FUPAD – Ministerio del Trabajo</w:t>
      </w:r>
    </w:p>
    <w:p w:rsidR="00B75C85" w:rsidRDefault="00B75C85" w:rsidP="00B75C85">
      <w:pPr>
        <w:autoSpaceDE w:val="0"/>
        <w:autoSpaceDN w:val="0"/>
        <w:adjustRightInd w:val="0"/>
        <w:spacing w:line="276" w:lineRule="auto"/>
        <w:jc w:val="center"/>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881A22">
        <w:rPr>
          <w:rFonts w:ascii="Arial" w:eastAsiaTheme="minorHAnsi" w:hAnsi="Arial" w:cs="Arial"/>
          <w:lang w:val="es-CO"/>
        </w:rPr>
        <w:t xml:space="preserve">De las 21 ciudades analizadas con el indicador de competitividad Doing Business, Cartagena es considerada la ciudad con más dificultad para abrir una empresa, </w:t>
      </w:r>
      <w:r w:rsidRPr="00881A22">
        <w:rPr>
          <w:rFonts w:ascii="Arial" w:eastAsiaTheme="minorHAnsi" w:hAnsi="Arial" w:cs="Arial"/>
          <w:lang w:val="es-CO"/>
        </w:rPr>
        <w:lastRenderedPageBreak/>
        <w:t>situación que la hace menos competitiva. El indicador califica a Cartagena como la ciudad, después de Tunja, más onerosa y demorada en los procesos de apertura de una empresa; el trámite se tarda 27 días y tiene un costo de 20,2% del ingreso per cápita del país. Este indicador además afecta a la ciudad en: obtención de permisos para construcción (puesto 16), registro de proveedores (puesto 21), pago de impuestos (puesto 21), comercio transfronterizo (puesto 3 de 4 ciudades analizadas) y cumplimiento de contratos (puesto 20).</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A021C6" w:rsidRDefault="00987907" w:rsidP="00987907">
      <w:pPr>
        <w:pStyle w:val="Ttulo2"/>
        <w:spacing w:before="0" w:line="276" w:lineRule="auto"/>
        <w:rPr>
          <w:rFonts w:ascii="Arial" w:hAnsi="Arial" w:cs="Arial"/>
          <w:i/>
          <w:iCs/>
          <w:color w:val="C00000"/>
          <w:sz w:val="22"/>
          <w:szCs w:val="22"/>
        </w:rPr>
      </w:pPr>
      <w:bookmarkStart w:id="131" w:name="_Toc361438131"/>
      <w:bookmarkStart w:id="132" w:name="_Toc361951339"/>
      <w:bookmarkStart w:id="133" w:name="_Toc385001362"/>
      <w:bookmarkStart w:id="134" w:name="_Toc385418231"/>
      <w:bookmarkStart w:id="135" w:name="_Toc386007252"/>
      <w:bookmarkStart w:id="136" w:name="_Toc389666628"/>
      <w:r>
        <w:rPr>
          <w:rFonts w:ascii="Arial" w:hAnsi="Arial" w:cs="Arial"/>
          <w:color w:val="C00000"/>
          <w:sz w:val="22"/>
          <w:szCs w:val="22"/>
        </w:rPr>
        <w:t xml:space="preserve">4.2 </w:t>
      </w:r>
      <w:r w:rsidR="00B75C85" w:rsidRPr="00A021C6">
        <w:rPr>
          <w:rFonts w:ascii="Arial" w:hAnsi="Arial" w:cs="Arial"/>
          <w:color w:val="C00000"/>
          <w:sz w:val="22"/>
          <w:szCs w:val="22"/>
        </w:rPr>
        <w:t>Desarrollo empresarial y creación de emprendimientos sostenibles</w:t>
      </w:r>
      <w:bookmarkEnd w:id="131"/>
      <w:bookmarkEnd w:id="132"/>
      <w:bookmarkEnd w:id="133"/>
      <w:bookmarkEnd w:id="134"/>
      <w:bookmarkEnd w:id="135"/>
      <w:bookmarkEnd w:id="136"/>
    </w:p>
    <w:p w:rsidR="00B75C85" w:rsidRDefault="00B75C85" w:rsidP="00B75C85">
      <w:pPr>
        <w:autoSpaceDE w:val="0"/>
        <w:autoSpaceDN w:val="0"/>
        <w:adjustRightInd w:val="0"/>
        <w:spacing w:line="276" w:lineRule="auto"/>
        <w:jc w:val="both"/>
        <w:rPr>
          <w:rFonts w:ascii="Arial" w:eastAsiaTheme="minorHAnsi" w:hAnsi="Arial" w:cs="Arial"/>
        </w:rPr>
      </w:pPr>
    </w:p>
    <w:p w:rsidR="00B75C85" w:rsidRPr="00881A22" w:rsidRDefault="00B75C85" w:rsidP="00B75C85">
      <w:pPr>
        <w:autoSpaceDE w:val="0"/>
        <w:autoSpaceDN w:val="0"/>
        <w:adjustRightInd w:val="0"/>
        <w:spacing w:line="276" w:lineRule="auto"/>
        <w:jc w:val="both"/>
        <w:rPr>
          <w:rFonts w:ascii="Arial" w:eastAsiaTheme="minorHAnsi" w:hAnsi="Arial" w:cs="Arial"/>
          <w:lang w:val="es-CO"/>
        </w:rPr>
      </w:pPr>
      <w:r w:rsidRPr="00881A22">
        <w:rPr>
          <w:rFonts w:ascii="Arial" w:eastAsiaTheme="minorHAnsi" w:hAnsi="Arial" w:cs="Arial"/>
          <w:lang w:val="es-CO"/>
        </w:rPr>
        <w:t xml:space="preserve">En el 2012 se encontraban matriculadas y renovadas 15.673 empresas ubicadas en los municipios de la jurisdicción en la Cámara de Comercio de Cartagena. Dentro del agregado empresarial, </w:t>
      </w:r>
      <w:proofErr w:type="gramStart"/>
      <w:r w:rsidRPr="00881A22">
        <w:rPr>
          <w:rFonts w:ascii="Arial" w:eastAsiaTheme="minorHAnsi" w:hAnsi="Arial" w:cs="Arial"/>
          <w:lang w:val="es-CO"/>
        </w:rPr>
        <w:t>las micro</w:t>
      </w:r>
      <w:proofErr w:type="gramEnd"/>
      <w:r w:rsidRPr="00881A22">
        <w:rPr>
          <w:rFonts w:ascii="Arial" w:eastAsiaTheme="minorHAnsi" w:hAnsi="Arial" w:cs="Arial"/>
          <w:lang w:val="es-CO"/>
        </w:rPr>
        <w:t xml:space="preserve"> y pequeñas empresas participan con el 97,09%, seguido por la mediana empresa, con el 2,18% y en menor medida la gran empresa, con el 0,73%. No obstante, estas últimas concentran el 85,7% de los activos gracias a su estructura financiera.</w:t>
      </w:r>
    </w:p>
    <w:p w:rsidR="00B75C85" w:rsidRPr="00881A22"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881A22">
        <w:rPr>
          <w:rFonts w:ascii="Arial" w:eastAsiaTheme="minorHAnsi" w:hAnsi="Arial" w:cs="Arial"/>
          <w:lang w:val="es-CO"/>
        </w:rPr>
        <w:t xml:space="preserve">Por su parte, las pymes aportan el 13,6% y las microempresas tan sólo el 0,7% de los activos. En cuanto a la distribución por actividades económicas, se evidencia la tercerización de la economía, su mayoría se dedican a la comercialización de bienes y/o prestación de servicios (80,5%), en contraste con las empresas del sector industrial (10,9%), de la construcción (6,7%) y del sector primario (1,4%), las cuales se encuentran en una menor </w:t>
      </w:r>
      <w:r w:rsidRPr="00D0197A">
        <w:rPr>
          <w:rFonts w:ascii="Arial" w:eastAsiaTheme="minorHAnsi" w:hAnsi="Arial" w:cs="Arial"/>
          <w:lang w:val="es-CO"/>
        </w:rPr>
        <w:t>proporción (Cámara de Comercio de Cartagena, 2013).</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274862" w:rsidRDefault="00B75C85" w:rsidP="00B75C85">
      <w:pPr>
        <w:autoSpaceDE w:val="0"/>
        <w:autoSpaceDN w:val="0"/>
        <w:adjustRightInd w:val="0"/>
        <w:spacing w:line="276" w:lineRule="auto"/>
        <w:jc w:val="both"/>
        <w:rPr>
          <w:rFonts w:ascii="Arial" w:eastAsiaTheme="minorHAnsi" w:hAnsi="Arial" w:cs="Arial"/>
          <w:lang w:val="es-CO"/>
        </w:rPr>
      </w:pPr>
      <w:r w:rsidRPr="00274862">
        <w:rPr>
          <w:rFonts w:ascii="Arial" w:eastAsiaTheme="minorHAnsi" w:hAnsi="Arial" w:cs="Arial"/>
          <w:lang w:val="es-CO"/>
        </w:rPr>
        <w:t>Dentro del sector empresarial, el segmento microempresarial, por no contar con una estructura financiera, comercial, administrativa y operativa, es el que más problemas de sostenibilidad económica presenta. En el año 2012 el sector microempresarial fue el único que presentó una disminución en su participación (-2,4%).</w:t>
      </w:r>
    </w:p>
    <w:p w:rsidR="00B75C85" w:rsidRPr="00274862"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274862">
        <w:rPr>
          <w:rFonts w:ascii="Arial" w:eastAsiaTheme="minorHAnsi" w:hAnsi="Arial" w:cs="Arial"/>
          <w:lang w:val="es-CO"/>
        </w:rPr>
        <w:t>Existen varias razones por las cuales las microempresas no son sostenibles en el tiempo: se desarrollan en actividades económicas con altas barreras de entrada, alto grado de informalidad, baja productividad y bajo impacto local o regional; insuficiencia en el apoyo de seguimiento en las etapas desarrollo, no siempre los planes de negocios o de inversión corresponden a una oportunidad de negocio observada; no existe encadenamiento horizontal y vertical, lo que dificulta el desarrollo y sostenibilidad de las nuevas microempresas.</w:t>
      </w: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MT" w:eastAsiaTheme="minorHAnsi" w:hAnsi="ArialMT" w:cs="ArialMT"/>
          <w:lang w:val="es-CO"/>
        </w:rPr>
      </w:pPr>
      <w:r w:rsidRPr="00274862">
        <w:rPr>
          <w:rFonts w:ascii="Arial" w:eastAsiaTheme="minorHAnsi" w:hAnsi="Arial" w:cs="Arial"/>
          <w:lang w:val="es-CO"/>
        </w:rPr>
        <w:t>Es importante destacar que este tipo de encadenamientos son un mecanismo que le permite a las empresas de menor tamaño crear economías de escala, incrementar su capacidad de gestión en los mercados que participan e integrarse a cadenas productivas</w:t>
      </w:r>
      <w:r>
        <w:rPr>
          <w:rFonts w:ascii="ArialMT" w:eastAsiaTheme="minorHAnsi" w:hAnsi="ArialMT" w:cs="ArialMT"/>
          <w:lang w:val="es-CO"/>
        </w:rPr>
        <w:t>.</w:t>
      </w:r>
    </w:p>
    <w:p w:rsidR="00B75C85" w:rsidRDefault="00B75C85" w:rsidP="00B75C85">
      <w:pPr>
        <w:autoSpaceDE w:val="0"/>
        <w:autoSpaceDN w:val="0"/>
        <w:adjustRightInd w:val="0"/>
        <w:spacing w:line="276" w:lineRule="auto"/>
        <w:jc w:val="both"/>
        <w:rPr>
          <w:rFonts w:ascii="ArialMT" w:eastAsiaTheme="minorHAnsi" w:hAnsi="ArialMT" w:cs="ArialMT"/>
          <w:lang w:val="es-CO"/>
        </w:rPr>
      </w:pPr>
    </w:p>
    <w:p w:rsidR="00601EF8" w:rsidRDefault="00601EF8" w:rsidP="00B75C85">
      <w:pPr>
        <w:autoSpaceDE w:val="0"/>
        <w:autoSpaceDN w:val="0"/>
        <w:adjustRightInd w:val="0"/>
        <w:spacing w:line="276" w:lineRule="auto"/>
        <w:jc w:val="both"/>
        <w:rPr>
          <w:rFonts w:ascii="ArialMT" w:eastAsiaTheme="minorHAnsi" w:hAnsi="ArialMT" w:cs="ArialMT"/>
          <w:lang w:val="es-CO"/>
        </w:rPr>
      </w:pPr>
    </w:p>
    <w:p w:rsidR="00601EF8" w:rsidRDefault="00601EF8" w:rsidP="00B75C85">
      <w:pPr>
        <w:autoSpaceDE w:val="0"/>
        <w:autoSpaceDN w:val="0"/>
        <w:adjustRightInd w:val="0"/>
        <w:spacing w:line="276" w:lineRule="auto"/>
        <w:jc w:val="both"/>
        <w:rPr>
          <w:rFonts w:ascii="ArialMT" w:eastAsiaTheme="minorHAnsi" w:hAnsi="ArialMT" w:cs="ArialMT"/>
          <w:lang w:val="es-CO"/>
        </w:rPr>
      </w:pPr>
    </w:p>
    <w:p w:rsidR="00B75C85" w:rsidRPr="00A021C6" w:rsidRDefault="00987907" w:rsidP="00987907">
      <w:pPr>
        <w:pStyle w:val="Ttulo2"/>
        <w:spacing w:before="0" w:line="276" w:lineRule="auto"/>
        <w:rPr>
          <w:rFonts w:ascii="Arial" w:hAnsi="Arial" w:cs="Arial"/>
          <w:i/>
          <w:iCs/>
          <w:color w:val="C00000"/>
          <w:sz w:val="22"/>
          <w:szCs w:val="22"/>
        </w:rPr>
      </w:pPr>
      <w:bookmarkStart w:id="137" w:name="_Toc361438132"/>
      <w:bookmarkStart w:id="138" w:name="_Toc361951340"/>
      <w:bookmarkStart w:id="139" w:name="_Toc385001363"/>
      <w:bookmarkStart w:id="140" w:name="_Toc385418232"/>
      <w:bookmarkStart w:id="141" w:name="_Toc386007253"/>
      <w:bookmarkStart w:id="142" w:name="_Toc389666629"/>
      <w:r>
        <w:rPr>
          <w:rFonts w:ascii="Arial" w:hAnsi="Arial" w:cs="Arial"/>
          <w:color w:val="C00000"/>
          <w:sz w:val="22"/>
          <w:szCs w:val="22"/>
        </w:rPr>
        <w:t xml:space="preserve">4.3 </w:t>
      </w:r>
      <w:r w:rsidR="00B75C85" w:rsidRPr="00A021C6">
        <w:rPr>
          <w:rFonts w:ascii="Arial" w:hAnsi="Arial" w:cs="Arial"/>
          <w:color w:val="C00000"/>
          <w:sz w:val="22"/>
          <w:szCs w:val="22"/>
        </w:rPr>
        <w:t xml:space="preserve">Niveles de </w:t>
      </w:r>
      <w:bookmarkEnd w:id="137"/>
      <w:bookmarkEnd w:id="138"/>
      <w:r w:rsidR="00B75C85" w:rsidRPr="00A021C6">
        <w:rPr>
          <w:rFonts w:ascii="Arial" w:hAnsi="Arial" w:cs="Arial"/>
          <w:color w:val="C00000"/>
          <w:sz w:val="22"/>
          <w:szCs w:val="22"/>
        </w:rPr>
        <w:t>educación general y formación laboral de la población</w:t>
      </w:r>
      <w:bookmarkEnd w:id="139"/>
      <w:bookmarkEnd w:id="140"/>
      <w:bookmarkEnd w:id="141"/>
      <w:bookmarkEnd w:id="142"/>
    </w:p>
    <w:p w:rsidR="00B75C85" w:rsidRDefault="00B75C85" w:rsidP="00B75C85">
      <w:pPr>
        <w:autoSpaceDE w:val="0"/>
        <w:autoSpaceDN w:val="0"/>
        <w:adjustRightInd w:val="0"/>
        <w:spacing w:line="276" w:lineRule="auto"/>
        <w:jc w:val="both"/>
        <w:rPr>
          <w:rFonts w:ascii="Arial" w:eastAsiaTheme="minorHAnsi" w:hAnsi="Arial" w:cs="Arial"/>
        </w:rPr>
      </w:pPr>
    </w:p>
    <w:p w:rsidR="00B75C85" w:rsidRPr="008F72BF" w:rsidRDefault="00B75C85" w:rsidP="00B75C85">
      <w:pPr>
        <w:autoSpaceDE w:val="0"/>
        <w:autoSpaceDN w:val="0"/>
        <w:adjustRightInd w:val="0"/>
        <w:spacing w:line="276" w:lineRule="auto"/>
        <w:jc w:val="both"/>
        <w:rPr>
          <w:rFonts w:ascii="Arial" w:eastAsiaTheme="minorHAnsi" w:hAnsi="Arial" w:cs="Arial"/>
          <w:lang w:val="es-CO"/>
        </w:rPr>
      </w:pPr>
      <w:r w:rsidRPr="008F72BF">
        <w:rPr>
          <w:rFonts w:ascii="Arial" w:eastAsiaTheme="minorHAnsi" w:hAnsi="Arial" w:cs="Arial"/>
          <w:lang w:val="es-CO"/>
        </w:rPr>
        <w:lastRenderedPageBreak/>
        <w:t>La acumulación del capital humano constituye una de las herramientas más eficaces para desarrollar capacidades, mejorar la inserción al mercado laboral y generar ingresos suficientes para superar la situación de pobreza y vulnerabilidad. La población mayor de 15 años en Bolívar ha alcanzado en promedio 7,5 años de educación, lejos de los que la Constitución en el artículo 67 ha definido como obligatorios: un año de preescolar y nueve de educación básica.</w:t>
      </w:r>
    </w:p>
    <w:p w:rsidR="00B75C85" w:rsidRPr="008F72BF"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8F72BF">
        <w:rPr>
          <w:rFonts w:ascii="Arial" w:eastAsiaTheme="minorHAnsi" w:hAnsi="Arial" w:cs="Arial"/>
          <w:lang w:val="es-CO"/>
        </w:rPr>
        <w:t xml:space="preserve">El departamento de Bolívar cuenta con una alta cobertura bruta en educación básica. Esta alcanzó en el 2012 el 89,75%; sin embargo, la cobertura en educación superior aún sigue siendo deficiente: sólo el 31,7% ha accedido a la educación superior y el 68,8% está por fuera del sistema. Del total de la población matriculada (62.781) en educación superior durante el 2012, el 56,6% recibe educación universitaria; le siguen los estudiantes de educación técnica y tecnológica con el 42,2% y, por último, la formación en postgrado con </w:t>
      </w:r>
      <w:r w:rsidRPr="00D0197A">
        <w:rPr>
          <w:rFonts w:ascii="Arial" w:eastAsiaTheme="minorHAnsi" w:hAnsi="Arial" w:cs="Arial"/>
          <w:lang w:val="es-CO"/>
        </w:rPr>
        <w:t>el 1,2% (Ministerio de Educación Nacional, 2013).</w:t>
      </w:r>
    </w:p>
    <w:p w:rsidR="00B75C85" w:rsidRPr="008F72BF" w:rsidRDefault="00B75C85"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r w:rsidRPr="008F72BF">
        <w:rPr>
          <w:rFonts w:ascii="Arial" w:eastAsiaTheme="minorHAnsi" w:hAnsi="Arial" w:cs="Arial"/>
          <w:lang w:val="es-CO"/>
        </w:rPr>
        <w:t>En el año 2012, del total de personas inscritas en procesos de formación para el trabajo sólo 9,5% culminaron sus estudios. Otra situación preocupante es calidad de la formación para el trabajo, la cual podemos medir por el número de instituciones y programas certificados. Del total de programas e instituciones de formación para el trabajo en el departamento, sólo el 8% y 11%, respectivamente, cuentan con certificación de calidad.</w:t>
      </w:r>
    </w:p>
    <w:p w:rsidR="00987907" w:rsidRDefault="00987907" w:rsidP="00B75C85">
      <w:pPr>
        <w:autoSpaceDE w:val="0"/>
        <w:autoSpaceDN w:val="0"/>
        <w:adjustRightInd w:val="0"/>
        <w:spacing w:line="276" w:lineRule="auto"/>
        <w:jc w:val="both"/>
        <w:rPr>
          <w:rFonts w:ascii="Arial" w:eastAsiaTheme="minorHAnsi" w:hAnsi="Arial" w:cs="Arial"/>
          <w:lang w:val="es-CO"/>
        </w:rPr>
      </w:pPr>
    </w:p>
    <w:p w:rsidR="00B75C85" w:rsidRDefault="00B75C85" w:rsidP="00B75C85">
      <w:pPr>
        <w:autoSpaceDE w:val="0"/>
        <w:autoSpaceDN w:val="0"/>
        <w:adjustRightInd w:val="0"/>
        <w:spacing w:line="276" w:lineRule="auto"/>
        <w:jc w:val="both"/>
        <w:rPr>
          <w:rFonts w:ascii="Arial" w:eastAsiaTheme="minorHAnsi" w:hAnsi="Arial" w:cs="Arial"/>
          <w:lang w:val="es-CO"/>
        </w:rPr>
      </w:pPr>
    </w:p>
    <w:p w:rsidR="00B75C85" w:rsidRPr="000D2C52" w:rsidRDefault="00B75C85" w:rsidP="000D2C52">
      <w:pPr>
        <w:pStyle w:val="Epgrafe"/>
        <w:jc w:val="center"/>
        <w:rPr>
          <w:rFonts w:ascii="Arial" w:hAnsi="Arial" w:cs="Arial"/>
          <w:color w:val="auto"/>
          <w:sz w:val="22"/>
          <w:szCs w:val="22"/>
        </w:rPr>
      </w:pPr>
      <w:bookmarkStart w:id="143" w:name="_Toc389667024"/>
      <w:r w:rsidRPr="000D2C52">
        <w:rPr>
          <w:rFonts w:ascii="Arial" w:hAnsi="Arial" w:cs="Arial"/>
          <w:color w:val="auto"/>
          <w:sz w:val="22"/>
          <w:szCs w:val="22"/>
        </w:rPr>
        <w:t xml:space="preserve">Tabla </w:t>
      </w:r>
      <w:r w:rsidRPr="000D2C52">
        <w:rPr>
          <w:rFonts w:ascii="Arial" w:hAnsi="Arial" w:cs="Arial"/>
          <w:color w:val="auto"/>
          <w:sz w:val="22"/>
          <w:szCs w:val="22"/>
        </w:rPr>
        <w:fldChar w:fldCharType="begin"/>
      </w:r>
      <w:r w:rsidRPr="000D2C52">
        <w:rPr>
          <w:rFonts w:ascii="Arial" w:hAnsi="Arial" w:cs="Arial"/>
          <w:color w:val="auto"/>
          <w:sz w:val="22"/>
          <w:szCs w:val="22"/>
        </w:rPr>
        <w:instrText xml:space="preserve"> SEQ Tabla \* ARABIC </w:instrText>
      </w:r>
      <w:r w:rsidRPr="000D2C52">
        <w:rPr>
          <w:rFonts w:ascii="Arial" w:hAnsi="Arial" w:cs="Arial"/>
          <w:color w:val="auto"/>
          <w:sz w:val="22"/>
          <w:szCs w:val="22"/>
        </w:rPr>
        <w:fldChar w:fldCharType="separate"/>
      </w:r>
      <w:r w:rsidR="00D9744C" w:rsidRPr="000D2C52">
        <w:rPr>
          <w:rFonts w:ascii="Arial" w:hAnsi="Arial" w:cs="Arial"/>
          <w:color w:val="auto"/>
          <w:sz w:val="22"/>
          <w:szCs w:val="22"/>
        </w:rPr>
        <w:t>11</w:t>
      </w:r>
      <w:r w:rsidRPr="000D2C52">
        <w:rPr>
          <w:rFonts w:ascii="Arial" w:hAnsi="Arial" w:cs="Arial"/>
          <w:color w:val="auto"/>
          <w:sz w:val="22"/>
          <w:szCs w:val="22"/>
        </w:rPr>
        <w:fldChar w:fldCharType="end"/>
      </w:r>
      <w:r w:rsidR="00A021C6" w:rsidRPr="000D2C52">
        <w:rPr>
          <w:rFonts w:ascii="Arial" w:hAnsi="Arial" w:cs="Arial"/>
          <w:color w:val="auto"/>
          <w:sz w:val="22"/>
          <w:szCs w:val="22"/>
        </w:rPr>
        <w:t>.</w:t>
      </w:r>
      <w:r w:rsidRPr="000D2C52">
        <w:rPr>
          <w:rFonts w:ascii="Arial" w:hAnsi="Arial" w:cs="Arial"/>
          <w:color w:val="auto"/>
          <w:sz w:val="22"/>
          <w:szCs w:val="22"/>
        </w:rPr>
        <w:t xml:space="preserve"> Cobertura y calidad de formación para el trabajo. Año 2012</w:t>
      </w:r>
      <w:bookmarkEnd w:id="143"/>
    </w:p>
    <w:tbl>
      <w:tblPr>
        <w:tblW w:w="0" w:type="auto"/>
        <w:tblInd w:w="55" w:type="dxa"/>
        <w:tblLayout w:type="fixed"/>
        <w:tblCellMar>
          <w:left w:w="70" w:type="dxa"/>
          <w:right w:w="70" w:type="dxa"/>
        </w:tblCellMar>
        <w:tblLook w:val="04A0" w:firstRow="1" w:lastRow="0" w:firstColumn="1" w:lastColumn="0" w:noHBand="0" w:noVBand="1"/>
      </w:tblPr>
      <w:tblGrid>
        <w:gridCol w:w="1008"/>
        <w:gridCol w:w="3281"/>
        <w:gridCol w:w="1230"/>
        <w:gridCol w:w="1066"/>
        <w:gridCol w:w="1744"/>
        <w:gridCol w:w="594"/>
      </w:tblGrid>
      <w:tr w:rsidR="00B75C85" w:rsidRPr="00436018" w:rsidTr="00212C5E">
        <w:trPr>
          <w:trHeight w:val="300"/>
        </w:trPr>
        <w:tc>
          <w:tcPr>
            <w:tcW w:w="42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18"/>
                <w:lang w:val="es-CO" w:eastAsia="es-CO"/>
              </w:rPr>
            </w:pPr>
            <w:r w:rsidRPr="00436018">
              <w:rPr>
                <w:rFonts w:ascii="Arial" w:eastAsia="Times New Roman" w:hAnsi="Arial" w:cs="Arial"/>
                <w:b/>
                <w:bCs/>
                <w:color w:val="000000"/>
                <w:sz w:val="18"/>
                <w:lang w:val="es-CO" w:eastAsia="es-CO"/>
              </w:rPr>
              <w:t>ETC</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18"/>
                <w:lang w:val="es-CO" w:eastAsia="es-CO"/>
              </w:rPr>
            </w:pPr>
            <w:r w:rsidRPr="00436018">
              <w:rPr>
                <w:rFonts w:ascii="Arial" w:eastAsia="Times New Roman" w:hAnsi="Arial" w:cs="Arial"/>
                <w:b/>
                <w:bCs/>
                <w:color w:val="000000"/>
                <w:sz w:val="18"/>
                <w:lang w:val="es-CO" w:eastAsia="es-CO"/>
              </w:rPr>
              <w:t>Secretaría Cartagena</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18"/>
                <w:lang w:val="es-CO" w:eastAsia="es-CO"/>
              </w:rPr>
            </w:pPr>
            <w:r w:rsidRPr="00436018">
              <w:rPr>
                <w:rFonts w:ascii="Arial" w:eastAsia="Times New Roman" w:hAnsi="Arial" w:cs="Arial"/>
                <w:b/>
                <w:bCs/>
                <w:color w:val="000000"/>
                <w:sz w:val="18"/>
                <w:lang w:val="es-CO" w:eastAsia="es-CO"/>
              </w:rPr>
              <w:t>Secretaría Bolívar</w:t>
            </w:r>
          </w:p>
        </w:tc>
        <w:tc>
          <w:tcPr>
            <w:tcW w:w="1744" w:type="dxa"/>
            <w:tcBorders>
              <w:top w:val="single" w:sz="4" w:space="0" w:color="auto"/>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18"/>
                <w:lang w:val="es-CO" w:eastAsia="es-CO"/>
              </w:rPr>
            </w:pPr>
            <w:r w:rsidRPr="00436018">
              <w:rPr>
                <w:rFonts w:ascii="Arial" w:eastAsia="Times New Roman" w:hAnsi="Arial" w:cs="Arial"/>
                <w:b/>
                <w:bCs/>
                <w:color w:val="000000"/>
                <w:sz w:val="18"/>
                <w:lang w:val="es-CO" w:eastAsia="es-CO"/>
              </w:rPr>
              <w:t>Total Departamental de Bolívar</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b/>
                <w:bCs/>
                <w:color w:val="000000"/>
                <w:sz w:val="18"/>
                <w:lang w:val="es-CO" w:eastAsia="es-CO"/>
              </w:rPr>
            </w:pPr>
            <w:r w:rsidRPr="00436018">
              <w:rPr>
                <w:rFonts w:ascii="Arial" w:eastAsia="Times New Roman" w:hAnsi="Arial" w:cs="Arial"/>
                <w:b/>
                <w:bCs/>
                <w:color w:val="000000"/>
                <w:sz w:val="18"/>
                <w:lang w:val="es-CO" w:eastAsia="es-CO"/>
              </w:rPr>
              <w:t>Nacional</w:t>
            </w:r>
          </w:p>
        </w:tc>
      </w:tr>
      <w:tr w:rsidR="00B75C85" w:rsidRPr="00436018" w:rsidTr="00212C5E">
        <w:trPr>
          <w:trHeight w:val="300"/>
        </w:trPr>
        <w:tc>
          <w:tcPr>
            <w:tcW w:w="10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Cobertura</w:t>
            </w: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Número de instituciones de formación para el trabajo por ETC</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39</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13</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52</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2.904</w:t>
            </w:r>
          </w:p>
        </w:tc>
      </w:tr>
      <w:tr w:rsidR="00B75C85" w:rsidRPr="00436018" w:rsidTr="00212C5E">
        <w:trPr>
          <w:trHeight w:val="300"/>
        </w:trPr>
        <w:tc>
          <w:tcPr>
            <w:tcW w:w="1008" w:type="dxa"/>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color w:val="000000"/>
                <w:sz w:val="18"/>
                <w:lang w:val="es-CO" w:eastAsia="es-CO"/>
              </w:rPr>
            </w:pP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Número de Programas de formación para el trabajo por ETC con registro</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227</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82</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309</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14.225</w:t>
            </w:r>
          </w:p>
        </w:tc>
      </w:tr>
      <w:tr w:rsidR="00B75C85" w:rsidRPr="00436018" w:rsidTr="00212C5E">
        <w:trPr>
          <w:trHeight w:val="300"/>
        </w:trPr>
        <w:tc>
          <w:tcPr>
            <w:tcW w:w="1008" w:type="dxa"/>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color w:val="000000"/>
                <w:sz w:val="18"/>
                <w:lang w:val="es-CO" w:eastAsia="es-CO"/>
              </w:rPr>
            </w:pP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Matricula 2012</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3.492</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1.175</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4.667</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377.876</w:t>
            </w:r>
          </w:p>
        </w:tc>
      </w:tr>
      <w:tr w:rsidR="00B75C85" w:rsidRPr="00436018" w:rsidTr="00212C5E">
        <w:trPr>
          <w:trHeight w:val="300"/>
        </w:trPr>
        <w:tc>
          <w:tcPr>
            <w:tcW w:w="1008" w:type="dxa"/>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color w:val="000000"/>
                <w:sz w:val="18"/>
                <w:lang w:val="es-CO" w:eastAsia="es-CO"/>
              </w:rPr>
            </w:pP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Número de egresados programas de formación para el trabajo 2012</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433</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14</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447</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106.577</w:t>
            </w:r>
          </w:p>
        </w:tc>
      </w:tr>
      <w:tr w:rsidR="00B75C85" w:rsidRPr="00436018" w:rsidTr="00212C5E">
        <w:trPr>
          <w:trHeight w:val="300"/>
        </w:trPr>
        <w:tc>
          <w:tcPr>
            <w:tcW w:w="10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Calidad</w:t>
            </w: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Número de Instituciones con Certificación de Calidad</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6</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0</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6</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113</w:t>
            </w:r>
          </w:p>
        </w:tc>
      </w:tr>
      <w:tr w:rsidR="00B75C85" w:rsidRPr="00436018" w:rsidTr="00212C5E">
        <w:trPr>
          <w:trHeight w:val="300"/>
        </w:trPr>
        <w:tc>
          <w:tcPr>
            <w:tcW w:w="1008" w:type="dxa"/>
            <w:vMerge/>
            <w:tcBorders>
              <w:top w:val="nil"/>
              <w:left w:val="single" w:sz="4" w:space="0" w:color="auto"/>
              <w:bottom w:val="single" w:sz="4" w:space="0" w:color="000000"/>
              <w:right w:val="single" w:sz="4" w:space="0" w:color="auto"/>
            </w:tcBorders>
            <w:vAlign w:val="center"/>
            <w:hideMark/>
          </w:tcPr>
          <w:p w:rsidR="00B75C85" w:rsidRPr="00436018" w:rsidRDefault="00B75C85" w:rsidP="00212C5E">
            <w:pPr>
              <w:rPr>
                <w:rFonts w:ascii="Arial" w:eastAsia="Times New Roman" w:hAnsi="Arial" w:cs="Arial"/>
                <w:color w:val="000000"/>
                <w:sz w:val="18"/>
                <w:lang w:val="es-CO" w:eastAsia="es-CO"/>
              </w:rPr>
            </w:pPr>
          </w:p>
        </w:tc>
        <w:tc>
          <w:tcPr>
            <w:tcW w:w="3281"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Número de programas con certificación de calidad</w:t>
            </w:r>
          </w:p>
        </w:tc>
        <w:tc>
          <w:tcPr>
            <w:tcW w:w="1230"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25</w:t>
            </w:r>
          </w:p>
        </w:tc>
        <w:tc>
          <w:tcPr>
            <w:tcW w:w="1066"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0</w:t>
            </w:r>
          </w:p>
        </w:tc>
        <w:tc>
          <w:tcPr>
            <w:tcW w:w="174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25</w:t>
            </w:r>
          </w:p>
        </w:tc>
        <w:tc>
          <w:tcPr>
            <w:tcW w:w="594" w:type="dxa"/>
            <w:tcBorders>
              <w:top w:val="nil"/>
              <w:left w:val="nil"/>
              <w:bottom w:val="single" w:sz="4" w:space="0" w:color="auto"/>
              <w:right w:val="single" w:sz="4" w:space="0" w:color="auto"/>
            </w:tcBorders>
            <w:shd w:val="clear" w:color="auto" w:fill="auto"/>
            <w:noWrap/>
            <w:vAlign w:val="center"/>
            <w:hideMark/>
          </w:tcPr>
          <w:p w:rsidR="00B75C85" w:rsidRPr="00436018" w:rsidRDefault="00B75C85" w:rsidP="00212C5E">
            <w:pPr>
              <w:jc w:val="center"/>
              <w:rPr>
                <w:rFonts w:ascii="Arial" w:eastAsia="Times New Roman" w:hAnsi="Arial" w:cs="Arial"/>
                <w:color w:val="000000"/>
                <w:sz w:val="18"/>
                <w:lang w:val="es-CO" w:eastAsia="es-CO"/>
              </w:rPr>
            </w:pPr>
            <w:r w:rsidRPr="00436018">
              <w:rPr>
                <w:rFonts w:ascii="Arial" w:eastAsia="Times New Roman" w:hAnsi="Arial" w:cs="Arial"/>
                <w:color w:val="000000"/>
                <w:sz w:val="18"/>
                <w:lang w:val="es-CO" w:eastAsia="es-CO"/>
              </w:rPr>
              <w:t>502</w:t>
            </w:r>
          </w:p>
        </w:tc>
      </w:tr>
    </w:tbl>
    <w:p w:rsidR="00B75C85" w:rsidRPr="00A021C6" w:rsidRDefault="00B75C85" w:rsidP="00B75C85">
      <w:pPr>
        <w:autoSpaceDE w:val="0"/>
        <w:autoSpaceDN w:val="0"/>
        <w:adjustRightInd w:val="0"/>
        <w:spacing w:line="276" w:lineRule="auto"/>
        <w:jc w:val="center"/>
        <w:rPr>
          <w:rFonts w:ascii="Arial" w:eastAsiaTheme="minorHAnsi" w:hAnsi="Arial" w:cs="Arial"/>
          <w:sz w:val="18"/>
          <w:szCs w:val="18"/>
          <w:lang w:val="es-CO"/>
        </w:rPr>
      </w:pPr>
      <w:r w:rsidRPr="00A021C6">
        <w:rPr>
          <w:rFonts w:ascii="Arial" w:eastAsiaTheme="minorHAnsi" w:hAnsi="Arial" w:cs="Arial"/>
          <w:sz w:val="18"/>
          <w:szCs w:val="18"/>
          <w:lang w:val="es-CO"/>
        </w:rPr>
        <w:t>Fuente: Ministerio de Educación Nacional. Síntesis de Educación Superior Bolívar</w:t>
      </w:r>
    </w:p>
    <w:p w:rsidR="00B75C85" w:rsidRDefault="00B75C85" w:rsidP="00B75C85">
      <w:pPr>
        <w:autoSpaceDE w:val="0"/>
        <w:autoSpaceDN w:val="0"/>
        <w:adjustRightInd w:val="0"/>
        <w:spacing w:line="276" w:lineRule="auto"/>
        <w:jc w:val="center"/>
        <w:rPr>
          <w:rFonts w:ascii="Arial" w:eastAsiaTheme="minorHAnsi" w:hAnsi="Arial" w:cs="Arial"/>
          <w:sz w:val="20"/>
          <w:szCs w:val="16"/>
          <w:lang w:val="es-CO"/>
        </w:rPr>
      </w:pPr>
    </w:p>
    <w:p w:rsidR="00B75C85" w:rsidRPr="00A021C6" w:rsidRDefault="00281FA2" w:rsidP="00281FA2">
      <w:pPr>
        <w:pStyle w:val="Ttulo2"/>
        <w:spacing w:before="0" w:line="276" w:lineRule="auto"/>
        <w:rPr>
          <w:rFonts w:ascii="Arial" w:hAnsi="Arial" w:cs="Arial"/>
          <w:color w:val="C00000"/>
          <w:sz w:val="22"/>
          <w:szCs w:val="22"/>
        </w:rPr>
      </w:pPr>
      <w:bookmarkStart w:id="144" w:name="_Toc361438133"/>
      <w:bookmarkStart w:id="145" w:name="_Toc361951341"/>
      <w:bookmarkStart w:id="146" w:name="_Toc385001364"/>
      <w:bookmarkStart w:id="147" w:name="_Toc385418233"/>
      <w:bookmarkStart w:id="148" w:name="_Toc386007254"/>
      <w:bookmarkStart w:id="149" w:name="_Toc389666630"/>
      <w:r>
        <w:rPr>
          <w:rFonts w:ascii="Arial" w:hAnsi="Arial" w:cs="Arial"/>
          <w:color w:val="C00000"/>
          <w:sz w:val="22"/>
          <w:szCs w:val="22"/>
        </w:rPr>
        <w:t xml:space="preserve">4.4 </w:t>
      </w:r>
      <w:r w:rsidR="00B75C85" w:rsidRPr="00A021C6">
        <w:rPr>
          <w:rFonts w:ascii="Arial" w:hAnsi="Arial" w:cs="Arial"/>
          <w:color w:val="C00000"/>
          <w:sz w:val="22"/>
          <w:szCs w:val="22"/>
        </w:rPr>
        <w:t>La demanda y la oferta laboral</w:t>
      </w:r>
      <w:bookmarkEnd w:id="144"/>
      <w:bookmarkEnd w:id="145"/>
      <w:bookmarkEnd w:id="146"/>
      <w:bookmarkEnd w:id="147"/>
      <w:bookmarkEnd w:id="148"/>
      <w:bookmarkEnd w:id="149"/>
    </w:p>
    <w:p w:rsidR="00B75C85" w:rsidRPr="00CD57DF" w:rsidRDefault="00B75C85" w:rsidP="00B75C85">
      <w:pPr>
        <w:autoSpaceDE w:val="0"/>
        <w:autoSpaceDN w:val="0"/>
        <w:adjustRightInd w:val="0"/>
        <w:spacing w:line="276" w:lineRule="auto"/>
        <w:jc w:val="both"/>
        <w:rPr>
          <w:rFonts w:ascii="Arial" w:eastAsiaTheme="minorHAnsi" w:hAnsi="Arial" w:cs="Arial"/>
        </w:rPr>
      </w:pP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 xml:space="preserve">Los desajustes y fricciones entre la oferta y la demanda laboral presentados en el departamento de Bolívar están asociados, entre otros factores, a la poca cualificación de una gran proporción de la población económicamente activa, a la ineficiencia de los sistemas de intermediación laboral para dar respuesta a las necesidades específicas de la demanda, a la poca eficacia de la institucionalidad local para arbitrar mecanismos con que las instituciones privadas dedicadas a la intermediación en el mercado de trabajo puedan desarrollarse y contribuir con la reducción del desempleo. </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lastRenderedPageBreak/>
        <w:t>Según cifras de la Agencia del Servicio Público de Empleo de</w:t>
      </w:r>
      <w:r w:rsidR="00601EF8">
        <w:rPr>
          <w:rFonts w:ascii="Arial" w:eastAsiaTheme="minorHAnsi" w:hAnsi="Arial" w:cs="Arial"/>
          <w:lang w:val="es-CO"/>
        </w:rPr>
        <w:t>l SENA en</w:t>
      </w:r>
      <w:r w:rsidRPr="00CD57DF">
        <w:rPr>
          <w:rFonts w:ascii="Arial" w:eastAsiaTheme="minorHAnsi" w:hAnsi="Arial" w:cs="Arial"/>
          <w:lang w:val="es-CO"/>
        </w:rPr>
        <w:t xml:space="preserve"> Bolívar, durante el 2012 se registraron 38.126 personas en busca de empleo, 6.966 más de las registradas en el 2011. Esto significó un crecimiento del 22%. Los puestos vacantes publicados durante el 2012 fueron de 7.256, con un crecimiento del 25%, es decir, 1.438 vacantes más de las publicadas en el 2011. Por su parte,</w:t>
      </w:r>
      <w:r>
        <w:rPr>
          <w:rFonts w:ascii="Arial" w:eastAsiaTheme="minorHAnsi" w:hAnsi="Arial" w:cs="Arial"/>
          <w:lang w:val="es-CO"/>
        </w:rPr>
        <w:t xml:space="preserve"> </w:t>
      </w:r>
      <w:r w:rsidRPr="00CD57DF">
        <w:rPr>
          <w:rFonts w:ascii="Arial" w:eastAsiaTheme="minorHAnsi" w:hAnsi="Arial" w:cs="Arial"/>
          <w:lang w:val="es-CO"/>
        </w:rPr>
        <w:t>fueron efectivas 5.641 colocaciones</w:t>
      </w:r>
      <w:r w:rsidR="007F0212">
        <w:rPr>
          <w:rFonts w:ascii="Arial" w:eastAsiaTheme="minorHAnsi" w:hAnsi="Arial" w:cs="Arial"/>
          <w:lang w:val="es-CO"/>
        </w:rPr>
        <w:t xml:space="preserve"> formales</w:t>
      </w:r>
      <w:r w:rsidRPr="00CD57DF">
        <w:rPr>
          <w:rFonts w:ascii="Arial" w:eastAsiaTheme="minorHAnsi" w:hAnsi="Arial" w:cs="Arial"/>
          <w:lang w:val="es-CO"/>
        </w:rPr>
        <w:t>, con un crecimiento del 40%; 1.606 colocaciones más de las registradas en el 2011.</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Las ocupaciones de inscritos y de vacantes agrupadas por nivel de cualificación reflejaron el siguiente comportamiento durante el 2012: se presentó un exceso de ocupaciones en oferta (buscadores de empleo), en comparación con las ocupaciones vacantes (los puestos disponibles publicados por los empresarios) en todos los niveles de cualificación.</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 xml:space="preserve">Las ocupaciones más prósperas (las más registradas por los empresarios y por las personas que buscan empleo, es decir, aquellas que se encuentran por encima del percentil 80 en inscritos y en vacantes) fueron los siguientes: </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DC6E74">
      <w:pPr>
        <w:pStyle w:val="Prrafodelista"/>
        <w:numPr>
          <w:ilvl w:val="0"/>
          <w:numId w:val="4"/>
        </w:num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Del nivel profesional: instructores de formación para el trabajo y profesionales en organización y administración de las empresas.</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DC6E74">
      <w:pPr>
        <w:pStyle w:val="Prrafodelista"/>
        <w:numPr>
          <w:ilvl w:val="0"/>
          <w:numId w:val="4"/>
        </w:num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Del nivel de técnicos profesionales - tecnólogos: inspectores de sanidad, seguridad y salud ocupacional, técnicos en fabricación industrial; técnicos en electrónica y telecomunicaciones.</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DC6E74">
      <w:pPr>
        <w:pStyle w:val="Prrafodelista"/>
        <w:numPr>
          <w:ilvl w:val="0"/>
          <w:numId w:val="4"/>
        </w:numPr>
        <w:autoSpaceDE w:val="0"/>
        <w:autoSpaceDN w:val="0"/>
        <w:adjustRightInd w:val="0"/>
        <w:spacing w:line="276" w:lineRule="auto"/>
        <w:jc w:val="both"/>
        <w:rPr>
          <w:rFonts w:ascii="Arial" w:eastAsiaTheme="minorHAnsi" w:hAnsi="Arial" w:cs="Arial"/>
          <w:lang w:val="es-CO"/>
        </w:rPr>
      </w:pPr>
      <w:r w:rsidRPr="00CD57DF">
        <w:rPr>
          <w:rFonts w:ascii="Arial" w:eastAsiaTheme="minorHAnsi" w:hAnsi="Arial" w:cs="Arial"/>
          <w:lang w:val="es-CO"/>
        </w:rPr>
        <w:t>Del nivel oficios calificados: soldadores, montadores de estructuras metálicas, mecánicos industriales, oficiales de construcción, auxiliares de almacén y bodega, meseros, capitán de meseros y auxiliares de información y servicio al cliente.</w:t>
      </w:r>
    </w:p>
    <w:p w:rsidR="00B75C85" w:rsidRPr="00CD57DF" w:rsidRDefault="00B75C85" w:rsidP="00B75C85">
      <w:pPr>
        <w:autoSpaceDE w:val="0"/>
        <w:autoSpaceDN w:val="0"/>
        <w:adjustRightInd w:val="0"/>
        <w:spacing w:line="276" w:lineRule="auto"/>
        <w:jc w:val="both"/>
        <w:rPr>
          <w:rFonts w:ascii="Arial" w:eastAsiaTheme="minorHAnsi" w:hAnsi="Arial" w:cs="Arial"/>
          <w:lang w:val="es-CO"/>
        </w:rPr>
      </w:pPr>
    </w:p>
    <w:p w:rsidR="00B75C85" w:rsidRPr="00CD57DF" w:rsidRDefault="00B75C85" w:rsidP="00DC6E74">
      <w:pPr>
        <w:pStyle w:val="Prrafodelista"/>
        <w:numPr>
          <w:ilvl w:val="0"/>
          <w:numId w:val="4"/>
        </w:numPr>
        <w:autoSpaceDE w:val="0"/>
        <w:autoSpaceDN w:val="0"/>
        <w:adjustRightInd w:val="0"/>
        <w:spacing w:line="276" w:lineRule="auto"/>
        <w:jc w:val="both"/>
        <w:rPr>
          <w:rFonts w:ascii="Arial" w:eastAsiaTheme="minorHAnsi" w:hAnsi="Arial" w:cs="Arial"/>
        </w:rPr>
      </w:pPr>
      <w:r w:rsidRPr="00CD57DF">
        <w:rPr>
          <w:rFonts w:ascii="Arial" w:eastAsiaTheme="minorHAnsi" w:hAnsi="Arial" w:cs="Arial"/>
          <w:lang w:val="es-CO"/>
        </w:rPr>
        <w:t>Del nivel oficios elementales: obreros de mantenimiento de obras públicas, ayudantes y obreros de construcción.</w:t>
      </w:r>
    </w:p>
    <w:p w:rsidR="00B75C85" w:rsidRPr="00CD57DF" w:rsidRDefault="00B75C85" w:rsidP="00B75C85">
      <w:pPr>
        <w:pStyle w:val="Prrafodelista"/>
        <w:rPr>
          <w:rFonts w:ascii="Arial" w:eastAsiaTheme="minorHAnsi" w:hAnsi="Arial" w:cs="Arial"/>
        </w:rPr>
      </w:pPr>
    </w:p>
    <w:p w:rsidR="00B75C85" w:rsidRDefault="00B75C85" w:rsidP="00B75C85"/>
    <w:p w:rsidR="00B75C85" w:rsidRPr="00A021C6" w:rsidRDefault="00281FA2" w:rsidP="00281FA2">
      <w:pPr>
        <w:pStyle w:val="Ttulo2"/>
        <w:spacing w:before="0" w:line="276" w:lineRule="auto"/>
        <w:rPr>
          <w:rFonts w:ascii="Arial" w:eastAsia="Times New Roman" w:hAnsi="Arial" w:cs="Arial"/>
          <w:color w:val="C00000"/>
          <w:sz w:val="22"/>
          <w:szCs w:val="22"/>
        </w:rPr>
      </w:pPr>
      <w:bookmarkStart w:id="150" w:name="_Toc385001365"/>
      <w:bookmarkStart w:id="151" w:name="_Toc385315696"/>
      <w:bookmarkStart w:id="152" w:name="_Toc386120094"/>
      <w:bookmarkStart w:id="153" w:name="_Toc389666631"/>
      <w:r>
        <w:rPr>
          <w:rFonts w:ascii="Arial" w:eastAsia="Times New Roman" w:hAnsi="Arial" w:cs="Arial"/>
          <w:color w:val="C00000"/>
          <w:sz w:val="22"/>
          <w:szCs w:val="22"/>
        </w:rPr>
        <w:t xml:space="preserve">4.5 </w:t>
      </w:r>
      <w:r w:rsidR="00B75C85" w:rsidRPr="00A021C6">
        <w:rPr>
          <w:rFonts w:ascii="Arial" w:eastAsia="Times New Roman" w:hAnsi="Arial" w:cs="Arial"/>
          <w:color w:val="C00000"/>
          <w:sz w:val="22"/>
          <w:szCs w:val="22"/>
        </w:rPr>
        <w:t>Articulación institucional y capacidad de las entidades territoriales</w:t>
      </w:r>
      <w:bookmarkEnd w:id="150"/>
      <w:bookmarkEnd w:id="151"/>
      <w:bookmarkEnd w:id="152"/>
      <w:bookmarkEnd w:id="153"/>
    </w:p>
    <w:p w:rsidR="00B75C85" w:rsidRPr="00436018" w:rsidRDefault="00B75C85" w:rsidP="00B75C85"/>
    <w:p w:rsidR="007F0212" w:rsidRDefault="00B75C85" w:rsidP="00B75C85">
      <w:pPr>
        <w:spacing w:line="276" w:lineRule="auto"/>
        <w:jc w:val="both"/>
        <w:rPr>
          <w:rFonts w:ascii="Arial" w:hAnsi="Arial" w:cs="Arial"/>
          <w:color w:val="000000"/>
        </w:rPr>
      </w:pPr>
      <w:r>
        <w:rPr>
          <w:rFonts w:ascii="Arial" w:hAnsi="Arial" w:cs="Arial"/>
          <w:color w:val="000000"/>
        </w:rPr>
        <w:t>En el departamento de Bolívar</w:t>
      </w:r>
      <w:r w:rsidRPr="00DF4BBB">
        <w:rPr>
          <w:rFonts w:ascii="Arial" w:hAnsi="Arial" w:cs="Arial"/>
          <w:color w:val="000000"/>
        </w:rPr>
        <w:t xml:space="preserve"> no existe una dependencia en la Gobernación a cargo exclusivamente del tema de fo</w:t>
      </w:r>
      <w:r>
        <w:rPr>
          <w:rFonts w:ascii="Arial" w:hAnsi="Arial" w:cs="Arial"/>
          <w:color w:val="000000"/>
        </w:rPr>
        <w:t>mento y/o generación de empleo, que realice investigacio</w:t>
      </w:r>
      <w:r w:rsidRPr="00DF4BBB">
        <w:rPr>
          <w:rFonts w:ascii="Arial" w:hAnsi="Arial" w:cs="Arial"/>
          <w:color w:val="000000"/>
        </w:rPr>
        <w:t>n</w:t>
      </w:r>
      <w:r>
        <w:rPr>
          <w:rFonts w:ascii="Arial" w:hAnsi="Arial" w:cs="Arial"/>
          <w:color w:val="000000"/>
        </w:rPr>
        <w:t>es</w:t>
      </w:r>
      <w:r w:rsidRPr="00DF4BBB">
        <w:rPr>
          <w:rFonts w:ascii="Arial" w:hAnsi="Arial" w:cs="Arial"/>
          <w:color w:val="000000"/>
        </w:rPr>
        <w:t xml:space="preserve"> y estudios específicos sobre el comportamiento del mercado de trabajo</w:t>
      </w:r>
      <w:r w:rsidR="007F0212">
        <w:rPr>
          <w:rFonts w:ascii="Arial" w:hAnsi="Arial" w:cs="Arial"/>
          <w:color w:val="000000"/>
        </w:rPr>
        <w:t>, pues n</w:t>
      </w:r>
      <w:r w:rsidRPr="00DF4BBB">
        <w:rPr>
          <w:rFonts w:ascii="Arial" w:hAnsi="Arial" w:cs="Arial"/>
          <w:color w:val="000000"/>
        </w:rPr>
        <w:t xml:space="preserve">o </w:t>
      </w:r>
      <w:r>
        <w:rPr>
          <w:rFonts w:ascii="Arial" w:hAnsi="Arial" w:cs="Arial"/>
          <w:color w:val="000000"/>
        </w:rPr>
        <w:t>hay</w:t>
      </w:r>
      <w:r w:rsidRPr="00DF4BBB">
        <w:rPr>
          <w:rFonts w:ascii="Arial" w:hAnsi="Arial" w:cs="Arial"/>
          <w:color w:val="000000"/>
        </w:rPr>
        <w:t xml:space="preserve"> funcionarios con el conocimiento y la experiencia adecuada en el tema y</w:t>
      </w:r>
      <w:r>
        <w:rPr>
          <w:rFonts w:ascii="Arial" w:hAnsi="Arial" w:cs="Arial"/>
          <w:color w:val="000000"/>
        </w:rPr>
        <w:t xml:space="preserve"> dado que</w:t>
      </w:r>
      <w:r w:rsidRPr="00DF4BBB">
        <w:rPr>
          <w:rFonts w:ascii="Arial" w:hAnsi="Arial" w:cs="Arial"/>
          <w:color w:val="000000"/>
        </w:rPr>
        <w:t xml:space="preserve"> el presupuesto debe distribuirse en los distintos temas que maneja la Secretaría de Desarrollo Económico</w:t>
      </w:r>
      <w:r w:rsidR="007F0212">
        <w:rPr>
          <w:rFonts w:ascii="Arial" w:hAnsi="Arial" w:cs="Arial"/>
          <w:color w:val="000000"/>
        </w:rPr>
        <w:t xml:space="preserve">. </w:t>
      </w:r>
    </w:p>
    <w:p w:rsidR="007F0212" w:rsidRDefault="007F0212" w:rsidP="00B75C85">
      <w:pPr>
        <w:spacing w:line="276" w:lineRule="auto"/>
        <w:jc w:val="both"/>
        <w:rPr>
          <w:rFonts w:ascii="Arial" w:hAnsi="Arial" w:cs="Arial"/>
          <w:color w:val="000000"/>
        </w:rPr>
      </w:pPr>
    </w:p>
    <w:p w:rsidR="00B75C85" w:rsidRPr="00F4232B" w:rsidRDefault="007F0212" w:rsidP="00B75C85">
      <w:pPr>
        <w:spacing w:line="276" w:lineRule="auto"/>
        <w:jc w:val="both"/>
        <w:rPr>
          <w:rFonts w:ascii="Arial" w:hAnsi="Arial" w:cs="Arial"/>
          <w:color w:val="000000"/>
        </w:rPr>
      </w:pPr>
      <w:r>
        <w:rPr>
          <w:rFonts w:ascii="Arial" w:hAnsi="Arial" w:cs="Arial"/>
          <w:color w:val="000000"/>
        </w:rPr>
        <w:t>Sin embargo, cabe resaltar que d</w:t>
      </w:r>
      <w:r w:rsidR="00B75C85" w:rsidRPr="00DF4BBB">
        <w:rPr>
          <w:rFonts w:ascii="Arial" w:hAnsi="Arial" w:cs="Arial"/>
          <w:color w:val="000000"/>
        </w:rPr>
        <w:t>urante la formulación de este Plan Depa</w:t>
      </w:r>
      <w:r w:rsidR="00B75C85">
        <w:rPr>
          <w:rFonts w:ascii="Arial" w:hAnsi="Arial" w:cs="Arial"/>
          <w:color w:val="000000"/>
        </w:rPr>
        <w:t>rtamental de empleo se evidenció</w:t>
      </w:r>
      <w:r w:rsidR="00B75C85" w:rsidRPr="00DF4BBB">
        <w:rPr>
          <w:rFonts w:ascii="Arial" w:hAnsi="Arial" w:cs="Arial"/>
          <w:color w:val="000000"/>
        </w:rPr>
        <w:t xml:space="preserve"> </w:t>
      </w:r>
      <w:r>
        <w:rPr>
          <w:rFonts w:ascii="Arial" w:hAnsi="Arial" w:cs="Arial"/>
          <w:color w:val="000000"/>
        </w:rPr>
        <w:t>lo siguiente</w:t>
      </w:r>
      <w:r w:rsidR="00B75C85" w:rsidRPr="00DF4BBB">
        <w:rPr>
          <w:rFonts w:ascii="Arial" w:hAnsi="Arial" w:cs="Arial"/>
          <w:color w:val="000000"/>
        </w:rPr>
        <w:t>:</w:t>
      </w:r>
    </w:p>
    <w:p w:rsidR="00B75C85" w:rsidRPr="00F4232B" w:rsidRDefault="00B75C85" w:rsidP="00B75C85">
      <w:pPr>
        <w:spacing w:line="276" w:lineRule="auto"/>
        <w:jc w:val="both"/>
        <w:rPr>
          <w:rFonts w:ascii="Arial" w:hAnsi="Arial" w:cs="Arial"/>
          <w:color w:val="000000"/>
        </w:rPr>
      </w:pPr>
    </w:p>
    <w:p w:rsidR="00B75C85" w:rsidRPr="00F4232B" w:rsidRDefault="00B75C85" w:rsidP="00DC6E74">
      <w:pPr>
        <w:pStyle w:val="Prrafodelista"/>
        <w:numPr>
          <w:ilvl w:val="0"/>
          <w:numId w:val="1"/>
        </w:numPr>
        <w:spacing w:line="276" w:lineRule="auto"/>
        <w:jc w:val="both"/>
        <w:rPr>
          <w:rFonts w:ascii="Arial" w:hAnsi="Arial" w:cs="Arial"/>
          <w:color w:val="000000"/>
        </w:rPr>
      </w:pPr>
      <w:r w:rsidRPr="00DF4BBB">
        <w:rPr>
          <w:rFonts w:ascii="Arial" w:hAnsi="Arial" w:cs="Arial"/>
          <w:color w:val="000000"/>
        </w:rPr>
        <w:t xml:space="preserve">Compromiso de la administración con la promoción de las políticas empleo, emprendimiento y generación de ingresos  </w:t>
      </w:r>
    </w:p>
    <w:p w:rsidR="00B75C85" w:rsidRPr="00F4232B" w:rsidRDefault="00B75C85" w:rsidP="00DC6E74">
      <w:pPr>
        <w:pStyle w:val="Prrafodelista"/>
        <w:numPr>
          <w:ilvl w:val="0"/>
          <w:numId w:val="1"/>
        </w:numPr>
        <w:spacing w:line="276" w:lineRule="auto"/>
        <w:jc w:val="both"/>
        <w:rPr>
          <w:rFonts w:ascii="Arial" w:hAnsi="Arial" w:cs="Arial"/>
          <w:color w:val="000000"/>
        </w:rPr>
      </w:pPr>
      <w:r w:rsidRPr="00DF4BBB">
        <w:rPr>
          <w:rFonts w:ascii="Arial" w:hAnsi="Arial" w:cs="Arial"/>
          <w:color w:val="000000"/>
        </w:rPr>
        <w:lastRenderedPageBreak/>
        <w:t>El liderazgo de la Secretaría de Desarrollo Económico en todo el proceso de formulación e implementación del Plan Departamental de Empleo</w:t>
      </w:r>
    </w:p>
    <w:p w:rsidR="00B75C85" w:rsidRPr="00F4232B" w:rsidRDefault="00B75C85" w:rsidP="00DC6E74">
      <w:pPr>
        <w:pStyle w:val="Prrafodelista"/>
        <w:numPr>
          <w:ilvl w:val="0"/>
          <w:numId w:val="1"/>
        </w:numPr>
        <w:spacing w:line="276" w:lineRule="auto"/>
        <w:jc w:val="both"/>
        <w:rPr>
          <w:rFonts w:ascii="Arial" w:hAnsi="Arial" w:cs="Arial"/>
          <w:color w:val="000000"/>
        </w:rPr>
      </w:pPr>
      <w:r w:rsidRPr="00DF4BBB">
        <w:rPr>
          <w:rFonts w:ascii="Arial" w:hAnsi="Arial" w:cs="Arial"/>
          <w:color w:val="000000"/>
        </w:rPr>
        <w:t>El enfoque sectorial en la formulación e implementación del PDE</w:t>
      </w:r>
    </w:p>
    <w:p w:rsidR="00B75C85" w:rsidRPr="00F4232B" w:rsidRDefault="00B75C85" w:rsidP="00DC6E74">
      <w:pPr>
        <w:pStyle w:val="Prrafodelista"/>
        <w:numPr>
          <w:ilvl w:val="0"/>
          <w:numId w:val="1"/>
        </w:numPr>
        <w:spacing w:line="276" w:lineRule="auto"/>
        <w:jc w:val="both"/>
        <w:rPr>
          <w:rFonts w:ascii="Arial" w:hAnsi="Arial" w:cs="Arial"/>
          <w:color w:val="000000"/>
        </w:rPr>
      </w:pPr>
      <w:r w:rsidRPr="00DF4BBB">
        <w:rPr>
          <w:rFonts w:ascii="Arial" w:hAnsi="Arial" w:cs="Arial"/>
          <w:color w:val="000000"/>
        </w:rPr>
        <w:t xml:space="preserve">La articulación que existe en el territorio entre los sectores público y privado </w:t>
      </w:r>
    </w:p>
    <w:p w:rsidR="00B75C85" w:rsidRPr="00F4232B" w:rsidRDefault="00B75C85" w:rsidP="00DC6E74">
      <w:pPr>
        <w:pStyle w:val="Prrafodelista"/>
        <w:numPr>
          <w:ilvl w:val="0"/>
          <w:numId w:val="1"/>
        </w:numPr>
        <w:spacing w:line="276" w:lineRule="auto"/>
        <w:jc w:val="both"/>
        <w:rPr>
          <w:rFonts w:ascii="Arial" w:hAnsi="Arial" w:cs="Arial"/>
          <w:color w:val="000000"/>
        </w:rPr>
      </w:pPr>
      <w:r w:rsidRPr="00DF4BBB">
        <w:rPr>
          <w:rFonts w:ascii="Arial" w:hAnsi="Arial" w:cs="Arial"/>
          <w:color w:val="000000"/>
        </w:rPr>
        <w:t>La articulación entre el PDD, el PDE y el Plan de Competitividad del departamento</w:t>
      </w:r>
    </w:p>
    <w:p w:rsidR="00B75C85" w:rsidRPr="00F4232B" w:rsidRDefault="00B75C85" w:rsidP="00B75C85">
      <w:pPr>
        <w:rPr>
          <w:rFonts w:ascii="Arial" w:hAnsi="Arial" w:cs="Arial"/>
          <w:color w:val="000000"/>
        </w:rPr>
      </w:pPr>
    </w:p>
    <w:p w:rsidR="00B75C85" w:rsidRPr="00F4232B" w:rsidRDefault="00B75C85" w:rsidP="00B75C85">
      <w:pPr>
        <w:spacing w:line="276" w:lineRule="auto"/>
        <w:rPr>
          <w:rFonts w:ascii="Arial" w:hAnsi="Arial" w:cs="Arial"/>
          <w:color w:val="000000"/>
        </w:rPr>
      </w:pPr>
      <w:r w:rsidRPr="00DF4BBB">
        <w:rPr>
          <w:rFonts w:ascii="Arial" w:hAnsi="Arial" w:cs="Arial"/>
          <w:color w:val="000000"/>
        </w:rPr>
        <w:t>A la vez es posible identificar los retos estratégicos que tiene el proceso a través de algunas oportunidades tales como:</w:t>
      </w:r>
    </w:p>
    <w:p w:rsidR="00B75C85" w:rsidRPr="00F4232B" w:rsidRDefault="00B75C85" w:rsidP="00B75C85">
      <w:pPr>
        <w:spacing w:line="276" w:lineRule="auto"/>
        <w:rPr>
          <w:rFonts w:ascii="Arial" w:hAnsi="Arial" w:cs="Arial"/>
          <w:color w:val="000000"/>
        </w:rPr>
      </w:pPr>
    </w:p>
    <w:p w:rsidR="00B75C85" w:rsidRPr="00F4232B" w:rsidRDefault="00B75C85" w:rsidP="00DC6E74">
      <w:pPr>
        <w:pStyle w:val="Prrafodelista"/>
        <w:numPr>
          <w:ilvl w:val="0"/>
          <w:numId w:val="25"/>
        </w:numPr>
        <w:spacing w:line="276" w:lineRule="auto"/>
        <w:rPr>
          <w:rFonts w:ascii="Arial" w:hAnsi="Arial" w:cs="Arial"/>
          <w:color w:val="000000"/>
        </w:rPr>
      </w:pPr>
      <w:r w:rsidRPr="00DF4BBB">
        <w:rPr>
          <w:rFonts w:ascii="Arial" w:hAnsi="Arial" w:cs="Arial"/>
          <w:color w:val="000000"/>
        </w:rPr>
        <w:t>La implementación del PDE</w:t>
      </w:r>
    </w:p>
    <w:p w:rsidR="00B75C85" w:rsidRPr="00F4232B" w:rsidRDefault="00B75C85" w:rsidP="00DC6E74">
      <w:pPr>
        <w:pStyle w:val="Prrafodelista"/>
        <w:numPr>
          <w:ilvl w:val="0"/>
          <w:numId w:val="25"/>
        </w:numPr>
        <w:spacing w:line="276" w:lineRule="auto"/>
        <w:rPr>
          <w:rFonts w:ascii="Arial" w:hAnsi="Arial" w:cs="Arial"/>
          <w:color w:val="000000"/>
        </w:rPr>
      </w:pPr>
      <w:r w:rsidRPr="00DF4BBB">
        <w:rPr>
          <w:rFonts w:ascii="Arial" w:hAnsi="Arial" w:cs="Arial"/>
          <w:color w:val="000000"/>
        </w:rPr>
        <w:t>La posición estratégica del departamento con relación a los tratados de Libre Comercio</w:t>
      </w:r>
    </w:p>
    <w:p w:rsidR="00B75C85" w:rsidRPr="00606E07" w:rsidRDefault="00B75C85" w:rsidP="00DC6E74">
      <w:pPr>
        <w:pStyle w:val="Prrafodelista"/>
        <w:numPr>
          <w:ilvl w:val="0"/>
          <w:numId w:val="25"/>
        </w:numPr>
        <w:spacing w:line="276" w:lineRule="auto"/>
        <w:rPr>
          <w:rFonts w:ascii="Arial" w:hAnsi="Arial" w:cs="Arial"/>
          <w:color w:val="000000"/>
        </w:rPr>
      </w:pPr>
      <w:r w:rsidRPr="00606E07">
        <w:rPr>
          <w:rFonts w:ascii="Arial" w:hAnsi="Arial" w:cs="Arial"/>
          <w:color w:val="000000"/>
        </w:rPr>
        <w:t xml:space="preserve">El compromiso del Gobernador y la Secretaría de Desarrollo Económico con la generación del empleo, el emprendimiento y el fortalecimiento empresarial de todas las subregiones del departamento   </w:t>
      </w:r>
    </w:p>
    <w:p w:rsidR="00B75C85" w:rsidRPr="00DF4BBB" w:rsidRDefault="00B75C85" w:rsidP="00B75C85">
      <w:pPr>
        <w:rPr>
          <w:rFonts w:ascii="Arial" w:hAnsi="Arial" w:cs="Arial"/>
        </w:rPr>
      </w:pPr>
    </w:p>
    <w:p w:rsidR="00B75C85" w:rsidRDefault="00B75C85" w:rsidP="00891E53"/>
    <w:p w:rsidR="007F0212" w:rsidRDefault="007F0212">
      <w:pPr>
        <w:spacing w:after="200" w:line="276" w:lineRule="auto"/>
        <w:rPr>
          <w:rFonts w:ascii="Arial" w:eastAsiaTheme="minorHAnsi" w:hAnsi="Arial" w:cs="Arial"/>
        </w:rPr>
      </w:pPr>
      <w:r>
        <w:rPr>
          <w:rFonts w:ascii="Arial" w:eastAsiaTheme="minorHAnsi" w:hAnsi="Arial" w:cs="Arial"/>
        </w:rPr>
        <w:br w:type="page"/>
      </w:r>
    </w:p>
    <w:p w:rsidR="00CD57DF" w:rsidRDefault="00CD57DF" w:rsidP="00CD57DF">
      <w:pPr>
        <w:autoSpaceDE w:val="0"/>
        <w:autoSpaceDN w:val="0"/>
        <w:adjustRightInd w:val="0"/>
        <w:spacing w:line="276" w:lineRule="auto"/>
        <w:jc w:val="both"/>
        <w:rPr>
          <w:rFonts w:ascii="Arial" w:eastAsiaTheme="minorHAnsi" w:hAnsi="Arial" w:cs="Arial"/>
        </w:rPr>
      </w:pPr>
    </w:p>
    <w:p w:rsidR="002047EF" w:rsidRPr="00A021C6" w:rsidRDefault="002047EF" w:rsidP="00DC6E74">
      <w:pPr>
        <w:pStyle w:val="Prrafodelista"/>
        <w:keepNext/>
        <w:keepLines/>
        <w:numPr>
          <w:ilvl w:val="0"/>
          <w:numId w:val="27"/>
        </w:numPr>
        <w:spacing w:after="200" w:line="276" w:lineRule="auto"/>
        <w:jc w:val="center"/>
        <w:outlineLvl w:val="0"/>
        <w:rPr>
          <w:rFonts w:ascii="Arial" w:eastAsia="Times New Roman" w:hAnsi="Arial" w:cs="Arial"/>
          <w:b/>
          <w:bCs/>
          <w:color w:val="C00000"/>
          <w:sz w:val="24"/>
          <w:szCs w:val="24"/>
        </w:rPr>
      </w:pPr>
      <w:bookmarkStart w:id="154" w:name="_Toc385001366"/>
      <w:bookmarkStart w:id="155" w:name="_Toc385418235"/>
      <w:bookmarkStart w:id="156" w:name="_Toc386007256"/>
      <w:bookmarkStart w:id="157" w:name="_Toc389666632"/>
      <w:r w:rsidRPr="00A021C6">
        <w:rPr>
          <w:rFonts w:ascii="Arial" w:eastAsia="Times New Roman" w:hAnsi="Arial" w:cs="Arial"/>
          <w:b/>
          <w:bCs/>
          <w:color w:val="C00000"/>
          <w:sz w:val="24"/>
          <w:szCs w:val="24"/>
        </w:rPr>
        <w:t>Acciones en marcha para resolver las problemáticas del mercado laboral en el departamento</w:t>
      </w:r>
      <w:bookmarkEnd w:id="154"/>
      <w:bookmarkEnd w:id="155"/>
      <w:bookmarkEnd w:id="156"/>
      <w:bookmarkEnd w:id="157"/>
    </w:p>
    <w:p w:rsidR="002047EF" w:rsidRPr="00ED2EFD" w:rsidRDefault="002047EF" w:rsidP="000E62F2">
      <w:pPr>
        <w:spacing w:line="276" w:lineRule="auto"/>
        <w:jc w:val="both"/>
        <w:rPr>
          <w:rFonts w:ascii="Arial" w:hAnsi="Arial" w:cs="Arial"/>
        </w:rPr>
      </w:pPr>
      <w:r w:rsidRPr="00ED2EFD">
        <w:rPr>
          <w:rFonts w:ascii="Arial" w:hAnsi="Arial" w:cs="Arial"/>
        </w:rPr>
        <w:t>De acuerdo con la identificación de los factores asociados a los problemas del departamento de</w:t>
      </w:r>
      <w:r>
        <w:rPr>
          <w:rFonts w:ascii="Arial" w:hAnsi="Arial" w:cs="Arial"/>
        </w:rPr>
        <w:t xml:space="preserve"> Bolívar</w:t>
      </w:r>
      <w:r w:rsidRPr="00ED2EFD">
        <w:rPr>
          <w:rFonts w:ascii="Arial" w:hAnsi="Arial" w:cs="Arial"/>
        </w:rPr>
        <w:t>, este capítulo muestra las acciones en proceso para resolver las problemáticas del mercado laboral y poder así abordar los puntos críticos que generan barreras a la creación de empleo en la región</w:t>
      </w:r>
      <w:r>
        <w:rPr>
          <w:rFonts w:ascii="Arial" w:hAnsi="Arial" w:cs="Arial"/>
        </w:rPr>
        <w:t>.</w:t>
      </w:r>
      <w:r w:rsidRPr="00ED2EFD">
        <w:rPr>
          <w:rFonts w:ascii="Arial" w:hAnsi="Arial" w:cs="Arial"/>
        </w:rPr>
        <w:t xml:space="preserve"> La presencia institucional, los programas y proyectos en curso, tanto del Ministerio del trabajo como de otras entidades, así como la coordinación institucional de las políticas laborales configuran los tópicos relevantes que se destacan en este apartado.</w:t>
      </w:r>
    </w:p>
    <w:p w:rsidR="002047EF" w:rsidRDefault="002047EF" w:rsidP="002047EF">
      <w:pPr>
        <w:autoSpaceDE w:val="0"/>
        <w:autoSpaceDN w:val="0"/>
        <w:adjustRightInd w:val="0"/>
        <w:spacing w:line="276" w:lineRule="auto"/>
        <w:jc w:val="both"/>
        <w:rPr>
          <w:rFonts w:ascii="Arial" w:eastAsiaTheme="minorHAnsi" w:hAnsi="Arial" w:cs="Arial"/>
        </w:rPr>
      </w:pPr>
    </w:p>
    <w:p w:rsidR="002047EF" w:rsidRPr="00A021C6" w:rsidRDefault="002047EF" w:rsidP="00DC6E74">
      <w:pPr>
        <w:pStyle w:val="Ttulo2"/>
        <w:numPr>
          <w:ilvl w:val="1"/>
          <w:numId w:val="27"/>
        </w:numPr>
        <w:spacing w:before="0" w:line="276" w:lineRule="auto"/>
        <w:rPr>
          <w:rFonts w:ascii="Arial" w:hAnsi="Arial" w:cs="Arial"/>
          <w:color w:val="C00000"/>
          <w:sz w:val="22"/>
          <w:szCs w:val="22"/>
        </w:rPr>
      </w:pPr>
      <w:bookmarkStart w:id="158" w:name="_Toc389666633"/>
      <w:r w:rsidRPr="00A021C6">
        <w:rPr>
          <w:rFonts w:ascii="Arial" w:hAnsi="Arial" w:cs="Arial"/>
          <w:color w:val="C00000"/>
          <w:sz w:val="22"/>
          <w:szCs w:val="22"/>
        </w:rPr>
        <w:t>Presencia institucional</w:t>
      </w:r>
      <w:bookmarkEnd w:id="158"/>
    </w:p>
    <w:p w:rsidR="002047EF" w:rsidRPr="00EE0017" w:rsidRDefault="002047EF" w:rsidP="002047EF"/>
    <w:p w:rsidR="002047EF" w:rsidRPr="00EE0017" w:rsidRDefault="002047EF">
      <w:pPr>
        <w:autoSpaceDE w:val="0"/>
        <w:autoSpaceDN w:val="0"/>
        <w:adjustRightInd w:val="0"/>
        <w:spacing w:line="276" w:lineRule="auto"/>
        <w:jc w:val="both"/>
        <w:rPr>
          <w:rFonts w:ascii="Arial" w:eastAsiaTheme="minorHAnsi" w:hAnsi="Arial" w:cs="Arial"/>
          <w:lang w:val="es-CO"/>
        </w:rPr>
      </w:pPr>
      <w:r w:rsidRPr="00EE0017">
        <w:rPr>
          <w:rFonts w:ascii="Arial" w:eastAsiaTheme="minorHAnsi" w:hAnsi="Arial" w:cs="Arial"/>
          <w:lang w:val="es-CO"/>
        </w:rPr>
        <w:t xml:space="preserve">En Bolívar la institucionalidad que puede gestionar el Plan de Empleo y las políticas de empleo territoriales para el departamento está representada por instancias públicas y privadas del orden nacional, departamental y local. A nivel nacional está el Ministerio del Trabajo, Ministerio de Comercio, Industria y Turismo, el SENA, DPS, Cajas de Compensación Familiar, gremios empresariales (Fenalco, ANDI, Acopi, </w:t>
      </w:r>
      <w:proofErr w:type="spellStart"/>
      <w:r w:rsidRPr="00EE0017">
        <w:rPr>
          <w:rFonts w:ascii="Arial" w:eastAsiaTheme="minorHAnsi" w:hAnsi="Arial" w:cs="Arial"/>
          <w:lang w:val="es-CO"/>
        </w:rPr>
        <w:t>Analdex</w:t>
      </w:r>
      <w:proofErr w:type="spellEnd"/>
      <w:r w:rsidRPr="00EE0017">
        <w:rPr>
          <w:rFonts w:ascii="Arial" w:eastAsiaTheme="minorHAnsi" w:hAnsi="Arial" w:cs="Arial"/>
          <w:lang w:val="es-CO"/>
        </w:rPr>
        <w:t>). En el departamento se cuenta, en primera instancia, con la Gobernación de Bolívar, por medio del Departamento de Planeación, la Unidad de desarrollo económico, las Secretarías de Hacienda y Agricultura; sumado a la Cámara de Comercio de Cartagena.</w:t>
      </w:r>
    </w:p>
    <w:p w:rsidR="002047EF" w:rsidRPr="00EE0017" w:rsidRDefault="002047EF">
      <w:pPr>
        <w:autoSpaceDE w:val="0"/>
        <w:autoSpaceDN w:val="0"/>
        <w:adjustRightInd w:val="0"/>
        <w:spacing w:line="276" w:lineRule="auto"/>
        <w:jc w:val="both"/>
        <w:rPr>
          <w:rFonts w:ascii="Arial" w:eastAsiaTheme="minorHAnsi" w:hAnsi="Arial" w:cs="Arial"/>
          <w:lang w:val="es-CO"/>
        </w:rPr>
      </w:pPr>
    </w:p>
    <w:p w:rsidR="002047EF" w:rsidRDefault="002047EF">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En el ámbito</w:t>
      </w:r>
      <w:r w:rsidRPr="00EE0017">
        <w:rPr>
          <w:rFonts w:ascii="Arial" w:eastAsiaTheme="minorHAnsi" w:hAnsi="Arial" w:cs="Arial"/>
          <w:lang w:val="es-CO"/>
        </w:rPr>
        <w:t xml:space="preserve"> local se encuentra la Alcaldía de Cartagena y sus Secretarías de participación y desarrollo social (Plan de Emergencia Social -PES), Secretaría de Hacienda, con la Unidad de desarrollo económico y planeación, el PNUD, con el Proyecto DEI (Desarrollo Económico Incluyente) y la Red de Inclusión Productiva que integra a actores públicos y privados, organizaciones sociales, instituciones académicas y centros de pensamiento.</w:t>
      </w:r>
    </w:p>
    <w:p w:rsidR="002047EF" w:rsidRDefault="002047EF">
      <w:pPr>
        <w:autoSpaceDE w:val="0"/>
        <w:autoSpaceDN w:val="0"/>
        <w:adjustRightInd w:val="0"/>
        <w:spacing w:line="276" w:lineRule="auto"/>
        <w:jc w:val="both"/>
        <w:rPr>
          <w:rFonts w:ascii="Arial" w:eastAsiaTheme="minorHAnsi" w:hAnsi="Arial" w:cs="Arial"/>
          <w:lang w:val="es-CO"/>
        </w:rPr>
      </w:pPr>
    </w:p>
    <w:p w:rsidR="002047EF" w:rsidRDefault="00281FA2">
      <w:pPr>
        <w:autoSpaceDE w:val="0"/>
        <w:autoSpaceDN w:val="0"/>
        <w:adjustRightInd w:val="0"/>
        <w:spacing w:line="276" w:lineRule="auto"/>
        <w:jc w:val="both"/>
        <w:rPr>
          <w:rFonts w:ascii="Arial" w:hAnsi="Arial" w:cs="Arial"/>
        </w:rPr>
      </w:pPr>
      <w:r>
        <w:rPr>
          <w:rFonts w:ascii="Arial" w:eastAsiaTheme="minorHAnsi" w:hAnsi="Arial" w:cs="Arial"/>
          <w:lang w:val="es-CO"/>
        </w:rPr>
        <w:t>Adicio</w:t>
      </w:r>
      <w:r w:rsidR="002047EF">
        <w:rPr>
          <w:rFonts w:ascii="Arial" w:eastAsiaTheme="minorHAnsi" w:hAnsi="Arial" w:cs="Arial"/>
          <w:lang w:val="es-CO"/>
        </w:rPr>
        <w:t xml:space="preserve">nal a lo anterior, las </w:t>
      </w:r>
      <w:r w:rsidR="002047EF" w:rsidRPr="00281FA2">
        <w:rPr>
          <w:rFonts w:ascii="Arial" w:eastAsiaTheme="minorHAnsi" w:hAnsi="Arial" w:cs="Arial"/>
          <w:lang w:val="es-CO"/>
        </w:rPr>
        <w:t>tablas 1</w:t>
      </w:r>
      <w:r w:rsidRPr="00281FA2">
        <w:rPr>
          <w:rFonts w:ascii="Arial" w:eastAsiaTheme="minorHAnsi" w:hAnsi="Arial" w:cs="Arial"/>
          <w:lang w:val="es-CO"/>
        </w:rPr>
        <w:t>2</w:t>
      </w:r>
      <w:r w:rsidR="002047EF" w:rsidRPr="00281FA2">
        <w:rPr>
          <w:rFonts w:ascii="Arial" w:eastAsiaTheme="minorHAnsi" w:hAnsi="Arial" w:cs="Arial"/>
          <w:lang w:val="es-CO"/>
        </w:rPr>
        <w:t xml:space="preserve"> y </w:t>
      </w:r>
      <w:r w:rsidRPr="00281FA2">
        <w:rPr>
          <w:rFonts w:ascii="Arial" w:eastAsiaTheme="minorHAnsi" w:hAnsi="Arial" w:cs="Arial"/>
          <w:lang w:val="es-CO"/>
        </w:rPr>
        <w:t>13</w:t>
      </w:r>
      <w:r w:rsidR="002047EF">
        <w:rPr>
          <w:rFonts w:ascii="Arial" w:eastAsiaTheme="minorHAnsi" w:hAnsi="Arial" w:cs="Arial"/>
          <w:lang w:val="es-CO"/>
        </w:rPr>
        <w:t xml:space="preserve"> describen las entidades y gremios destacados </w:t>
      </w:r>
      <w:r w:rsidR="002047EF" w:rsidRPr="00C42CF8">
        <w:rPr>
          <w:rFonts w:ascii="Arial" w:hAnsi="Arial" w:cs="Arial"/>
        </w:rPr>
        <w:t>que presentan programas dirigidos al fortalecimiento del empleo, el emprendimiento y la generación de ingresos</w:t>
      </w:r>
      <w:r w:rsidR="002047EF">
        <w:rPr>
          <w:rFonts w:ascii="Arial" w:hAnsi="Arial" w:cs="Arial"/>
        </w:rPr>
        <w:t xml:space="preserve"> en el departamento.</w:t>
      </w:r>
    </w:p>
    <w:p w:rsidR="002047EF" w:rsidRDefault="002047EF" w:rsidP="002047EF">
      <w:pPr>
        <w:autoSpaceDE w:val="0"/>
        <w:autoSpaceDN w:val="0"/>
        <w:adjustRightInd w:val="0"/>
        <w:spacing w:line="276" w:lineRule="auto"/>
        <w:jc w:val="both"/>
        <w:rPr>
          <w:rFonts w:ascii="Arial" w:hAnsi="Arial" w:cs="Arial"/>
        </w:rPr>
      </w:pPr>
    </w:p>
    <w:p w:rsidR="002047EF" w:rsidRPr="00A021C6" w:rsidRDefault="00A021C6" w:rsidP="00A021C6">
      <w:pPr>
        <w:pStyle w:val="Epgrafe"/>
        <w:jc w:val="center"/>
        <w:rPr>
          <w:rFonts w:ascii="Arial" w:hAnsi="Arial" w:cs="Arial"/>
          <w:color w:val="auto"/>
          <w:sz w:val="22"/>
          <w:szCs w:val="22"/>
        </w:rPr>
      </w:pPr>
      <w:bookmarkStart w:id="159" w:name="_Toc385779565"/>
      <w:bookmarkStart w:id="160" w:name="_Toc385844014"/>
      <w:bookmarkStart w:id="161" w:name="_Toc386451961"/>
      <w:bookmarkStart w:id="162" w:name="_Toc389667025"/>
      <w:r w:rsidRPr="00A021C6">
        <w:rPr>
          <w:rFonts w:ascii="Arial" w:hAnsi="Arial" w:cs="Arial"/>
          <w:color w:val="auto"/>
          <w:sz w:val="22"/>
          <w:szCs w:val="22"/>
        </w:rPr>
        <w:t xml:space="preserve">Tabla </w:t>
      </w:r>
      <w:r w:rsidRPr="00A021C6">
        <w:rPr>
          <w:rFonts w:ascii="Arial" w:hAnsi="Arial" w:cs="Arial"/>
          <w:color w:val="auto"/>
          <w:sz w:val="22"/>
          <w:szCs w:val="22"/>
        </w:rPr>
        <w:fldChar w:fldCharType="begin"/>
      </w:r>
      <w:r w:rsidRPr="00A021C6">
        <w:rPr>
          <w:rFonts w:ascii="Arial" w:hAnsi="Arial" w:cs="Arial"/>
          <w:color w:val="auto"/>
          <w:sz w:val="22"/>
          <w:szCs w:val="22"/>
        </w:rPr>
        <w:instrText xml:space="preserve"> SEQ Tabla \* ARABIC </w:instrText>
      </w:r>
      <w:r w:rsidRPr="00A021C6">
        <w:rPr>
          <w:rFonts w:ascii="Arial" w:hAnsi="Arial" w:cs="Arial"/>
          <w:color w:val="auto"/>
          <w:sz w:val="22"/>
          <w:szCs w:val="22"/>
        </w:rPr>
        <w:fldChar w:fldCharType="separate"/>
      </w:r>
      <w:r w:rsidR="00D9744C">
        <w:rPr>
          <w:rFonts w:ascii="Arial" w:hAnsi="Arial" w:cs="Arial"/>
          <w:noProof/>
          <w:color w:val="auto"/>
          <w:sz w:val="22"/>
          <w:szCs w:val="22"/>
        </w:rPr>
        <w:t>12</w:t>
      </w:r>
      <w:r w:rsidRPr="00A021C6">
        <w:rPr>
          <w:rFonts w:ascii="Arial" w:hAnsi="Arial" w:cs="Arial"/>
          <w:color w:val="auto"/>
          <w:sz w:val="22"/>
          <w:szCs w:val="22"/>
        </w:rPr>
        <w:fldChar w:fldCharType="end"/>
      </w:r>
      <w:r w:rsidRPr="00A021C6">
        <w:rPr>
          <w:rFonts w:ascii="Arial" w:hAnsi="Arial" w:cs="Arial"/>
          <w:color w:val="auto"/>
          <w:sz w:val="22"/>
          <w:szCs w:val="22"/>
        </w:rPr>
        <w:t>.</w:t>
      </w:r>
      <w:r w:rsidR="002047EF" w:rsidRPr="00A021C6">
        <w:rPr>
          <w:rFonts w:ascii="Arial" w:hAnsi="Arial" w:cs="Arial"/>
          <w:color w:val="auto"/>
          <w:sz w:val="22"/>
          <w:szCs w:val="22"/>
        </w:rPr>
        <w:t xml:space="preserve"> Oferta de programas institucionales con actividades en el territorio dirigidas a la promoción del empleo</w:t>
      </w:r>
      <w:bookmarkEnd w:id="159"/>
      <w:bookmarkEnd w:id="160"/>
      <w:bookmarkEnd w:id="161"/>
      <w:bookmarkEnd w:id="162"/>
    </w:p>
    <w:p w:rsidR="002047EF" w:rsidRDefault="002047EF" w:rsidP="002047EF">
      <w:pPr>
        <w:autoSpaceDE w:val="0"/>
        <w:autoSpaceDN w:val="0"/>
        <w:adjustRightInd w:val="0"/>
        <w:spacing w:line="276" w:lineRule="auto"/>
        <w:jc w:val="both"/>
        <w:rPr>
          <w:rFonts w:ascii="Arial" w:hAnsi="Arial" w:cs="Arial"/>
        </w:rPr>
      </w:pPr>
    </w:p>
    <w:tbl>
      <w:tblPr>
        <w:tblW w:w="0" w:type="auto"/>
        <w:tblInd w:w="58" w:type="dxa"/>
        <w:tblCellMar>
          <w:left w:w="10" w:type="dxa"/>
          <w:right w:w="10" w:type="dxa"/>
        </w:tblCellMar>
        <w:tblLook w:val="04A0" w:firstRow="1" w:lastRow="0" w:firstColumn="1" w:lastColumn="0" w:noHBand="0" w:noVBand="1"/>
      </w:tblPr>
      <w:tblGrid>
        <w:gridCol w:w="3433"/>
        <w:gridCol w:w="5147"/>
      </w:tblGrid>
      <w:tr w:rsidR="002047EF" w:rsidRPr="00C42CF8" w:rsidTr="00212C5E">
        <w:trPr>
          <w:trHeight w:val="49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center"/>
              <w:rPr>
                <w:rFonts w:ascii="Arial" w:hAnsi="Arial" w:cs="Arial"/>
                <w:b/>
                <w:bCs/>
                <w:color w:val="C00000"/>
                <w:sz w:val="18"/>
                <w:szCs w:val="18"/>
              </w:rPr>
            </w:pPr>
            <w:r w:rsidRPr="00C42CF8">
              <w:rPr>
                <w:rFonts w:ascii="Arial" w:hAnsi="Arial" w:cs="Arial"/>
                <w:b/>
                <w:bCs/>
                <w:sz w:val="18"/>
                <w:szCs w:val="18"/>
              </w:rPr>
              <w:t xml:space="preserve">Entidad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center"/>
              <w:rPr>
                <w:rFonts w:ascii="Arial" w:hAnsi="Arial" w:cs="Arial"/>
                <w:b/>
                <w:bCs/>
                <w:color w:val="C00000"/>
                <w:sz w:val="18"/>
                <w:szCs w:val="18"/>
              </w:rPr>
            </w:pPr>
            <w:r w:rsidRPr="00C42CF8">
              <w:rPr>
                <w:rFonts w:ascii="Arial" w:hAnsi="Arial" w:cs="Arial"/>
                <w:b/>
                <w:bCs/>
                <w:sz w:val="18"/>
                <w:szCs w:val="18"/>
              </w:rPr>
              <w:t>Programa</w:t>
            </w:r>
          </w:p>
        </w:tc>
      </w:tr>
      <w:tr w:rsidR="002047EF" w:rsidRPr="00C42CF8" w:rsidTr="00212C5E">
        <w:trPr>
          <w:trHeight w:val="69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r w:rsidRPr="00194917">
              <w:rPr>
                <w:rFonts w:ascii="Arial" w:hAnsi="Arial" w:cs="Arial"/>
                <w:sz w:val="18"/>
                <w:szCs w:val="18"/>
              </w:rPr>
              <w:t>SENA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Capacitación para personas en situación de desplazamiento por la violencia para mejorar sus niveles de empleabilidad y la cesación de su condición de desplazado a nivel nacional.</w:t>
            </w:r>
          </w:p>
        </w:tc>
      </w:tr>
      <w:tr w:rsidR="002047EF" w:rsidRPr="00C42CF8" w:rsidTr="00212C5E">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Administración e intermediación de empleo y desarrollo de programas de formación ocupacional para desempleados.</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Programa jóvenes rurales emprendedores.</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Normalización y certificación de competencias laborales.</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Asesoría a Mipymes</w:t>
            </w:r>
          </w:p>
        </w:tc>
      </w:tr>
      <w:tr w:rsidR="002047EF" w:rsidRPr="00C42CF8" w:rsidTr="00212C5E">
        <w:trPr>
          <w:trHeight w:val="690"/>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Capacitación para el desempeño en actividades productivas y asistencia técnica empresarial para el desarrollo social, económico y tecnológico.</w:t>
            </w:r>
          </w:p>
        </w:tc>
      </w:tr>
      <w:tr w:rsidR="002047EF" w:rsidRPr="00C42CF8" w:rsidTr="00212C5E">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Red de Instituciones de Formación para el Trabajo y el Desarro</w:t>
            </w:r>
            <w:r>
              <w:rPr>
                <w:rFonts w:ascii="Arial" w:hAnsi="Arial" w:cs="Arial"/>
                <w:sz w:val="18"/>
                <w:szCs w:val="18"/>
              </w:rPr>
              <w:t xml:space="preserve">llo Humano del Departamento de </w:t>
            </w:r>
            <w:r w:rsidR="001B0468">
              <w:rPr>
                <w:rFonts w:ascii="Arial" w:hAnsi="Arial" w:cs="Arial"/>
                <w:sz w:val="18"/>
                <w:szCs w:val="18"/>
              </w:rPr>
              <w:t>Bolívar</w:t>
            </w:r>
            <w:r>
              <w:rPr>
                <w:rFonts w:ascii="Arial" w:hAnsi="Arial" w:cs="Arial"/>
                <w:sz w:val="18"/>
                <w:szCs w:val="18"/>
              </w:rPr>
              <w:t>.</w:t>
            </w:r>
          </w:p>
        </w:tc>
      </w:tr>
      <w:tr w:rsidR="002047EF" w:rsidRPr="00C42CF8" w:rsidTr="00212C5E">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r w:rsidRPr="00194917">
              <w:rPr>
                <w:rFonts w:ascii="Arial" w:hAnsi="Arial" w:cs="Arial"/>
                <w:sz w:val="18"/>
                <w:szCs w:val="18"/>
              </w:rPr>
              <w:t>Departamento para la Prosperidad Social  (DPS)</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both"/>
              <w:rPr>
                <w:rFonts w:ascii="Arial" w:hAnsi="Arial" w:cs="Arial"/>
                <w:sz w:val="18"/>
                <w:szCs w:val="18"/>
              </w:rPr>
            </w:pPr>
            <w:r w:rsidRPr="00C42CF8">
              <w:rPr>
                <w:rFonts w:ascii="Arial" w:hAnsi="Arial" w:cs="Arial"/>
                <w:sz w:val="18"/>
                <w:szCs w:val="18"/>
              </w:rPr>
              <w:t>Jóvenes en Acción</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Paz, desarrollo y estabilización</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Capitalización microempresarial</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Activos para la prosperidad</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Mujeres Ahorradoras en Acción</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Empleo de Emergencia</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Incentivo a la Capacitación para el Empelo (ICE)</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Ruta de Ingresos y Empresarismo</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Ingreso Social</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Enfoque diferencial étnico</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194917" w:rsidRDefault="002047EF" w:rsidP="00212C5E">
            <w:pP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Red de Seguridad Alimentarias (RESA)</w:t>
            </w:r>
          </w:p>
        </w:tc>
      </w:tr>
      <w:tr w:rsidR="002047EF" w:rsidRPr="00C42CF8" w:rsidTr="00212C5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r w:rsidRPr="00194917">
              <w:rPr>
                <w:rFonts w:ascii="Arial" w:hAnsi="Arial" w:cs="Arial"/>
                <w:sz w:val="18"/>
                <w:szCs w:val="18"/>
              </w:rPr>
              <w:t>DNP</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Sistema General de Regalías</w:t>
            </w:r>
          </w:p>
        </w:tc>
      </w:tr>
      <w:tr w:rsidR="002047EF" w:rsidRPr="00C42CF8" w:rsidTr="00212C5E">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r w:rsidRPr="00194917">
              <w:rPr>
                <w:rFonts w:ascii="Arial" w:hAnsi="Arial" w:cs="Arial"/>
                <w:sz w:val="18"/>
                <w:szCs w:val="18"/>
              </w:rPr>
              <w:t>Ministerio de Comercio Industria y Turismo</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both"/>
              <w:rPr>
                <w:rFonts w:ascii="Arial" w:hAnsi="Arial" w:cs="Arial"/>
                <w:sz w:val="18"/>
                <w:szCs w:val="18"/>
              </w:rPr>
            </w:pPr>
            <w:r w:rsidRPr="00C42CF8">
              <w:rPr>
                <w:rFonts w:ascii="Arial" w:hAnsi="Arial" w:cs="Arial"/>
                <w:sz w:val="18"/>
                <w:szCs w:val="18"/>
              </w:rPr>
              <w:t>Programas para el desarrollo de las MIPYMES</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Emprendimiento</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Turismo</w:t>
            </w:r>
          </w:p>
        </w:tc>
      </w:tr>
      <w:tr w:rsidR="002047EF" w:rsidRPr="00C42CF8" w:rsidTr="00212C5E">
        <w:trPr>
          <w:trHeight w:val="46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194917" w:rsidRDefault="002047EF" w:rsidP="00212C5E">
            <w:pPr>
              <w:jc w:val="center"/>
              <w:rPr>
                <w:rFonts w:ascii="Arial" w:hAnsi="Arial" w:cs="Arial"/>
                <w:sz w:val="18"/>
                <w:szCs w:val="18"/>
              </w:rPr>
            </w:pPr>
            <w:r w:rsidRPr="00194917">
              <w:rPr>
                <w:rFonts w:ascii="Arial" w:hAnsi="Arial" w:cs="Arial"/>
                <w:sz w:val="18"/>
                <w:szCs w:val="18"/>
              </w:rPr>
              <w:t>Ministerio del trabajo</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C42CF8" w:rsidRDefault="002047EF" w:rsidP="00212C5E">
            <w:pPr>
              <w:jc w:val="both"/>
              <w:rPr>
                <w:rFonts w:ascii="Arial" w:hAnsi="Arial" w:cs="Arial"/>
                <w:sz w:val="18"/>
                <w:szCs w:val="18"/>
              </w:rPr>
            </w:pPr>
            <w:r w:rsidRPr="00C42CF8">
              <w:rPr>
                <w:rFonts w:ascii="Arial" w:hAnsi="Arial" w:cs="Arial"/>
                <w:sz w:val="18"/>
                <w:szCs w:val="18"/>
              </w:rPr>
              <w:t>Programa nacional de asistencia técnica-fortalecimiento capacidades territoriales</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Sistema de gestión de empleo para la productividad (en proceso)</w:t>
            </w:r>
          </w:p>
        </w:tc>
      </w:tr>
      <w:tr w:rsidR="002047EF" w:rsidRPr="00C42CF8" w:rsidTr="00212C5E">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center"/>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both"/>
              <w:rPr>
                <w:rFonts w:ascii="Arial" w:hAnsi="Arial" w:cs="Arial"/>
                <w:sz w:val="18"/>
                <w:szCs w:val="18"/>
              </w:rPr>
            </w:pPr>
            <w:r w:rsidRPr="00C42CF8">
              <w:rPr>
                <w:rFonts w:ascii="Arial" w:hAnsi="Arial" w:cs="Arial"/>
                <w:sz w:val="18"/>
                <w:szCs w:val="18"/>
              </w:rPr>
              <w:t>Observatorios del Mercado de Trabajo</w:t>
            </w:r>
            <w:r w:rsidRPr="006E2D80">
              <w:rPr>
                <w:rFonts w:ascii="Arial" w:hAnsi="Arial" w:cs="Arial"/>
                <w:sz w:val="18"/>
                <w:szCs w:val="18"/>
              </w:rPr>
              <w:t xml:space="preserve"> (</w:t>
            </w:r>
            <w:r w:rsidRPr="00C42CF8">
              <w:rPr>
                <w:rFonts w:ascii="Arial" w:hAnsi="Arial" w:cs="Arial"/>
                <w:sz w:val="18"/>
                <w:szCs w:val="18"/>
              </w:rPr>
              <w:t>ORMET)</w:t>
            </w:r>
          </w:p>
        </w:tc>
      </w:tr>
      <w:tr w:rsidR="002047EF" w:rsidRPr="00C42CF8" w:rsidTr="00212C5E">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2047EF" w:rsidRPr="00C42CF8" w:rsidRDefault="002047EF" w:rsidP="00212C5E">
            <w:pPr>
              <w:jc w:val="center"/>
              <w:rPr>
                <w:rFonts w:ascii="Arial" w:hAnsi="Arial" w:cs="Arial"/>
                <w:sz w:val="18"/>
                <w:szCs w:val="18"/>
              </w:rPr>
            </w:pPr>
            <w:r w:rsidRPr="00C42CF8">
              <w:rPr>
                <w:rFonts w:ascii="Arial" w:hAnsi="Arial" w:cs="Arial"/>
                <w:sz w:val="18"/>
                <w:szCs w:val="18"/>
              </w:rPr>
              <w:t>Agencia Presidencial de Cooperación Internacional de Colombia (APC-Colombia)</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047EF" w:rsidRPr="006E2D80" w:rsidRDefault="002047EF" w:rsidP="00212C5E">
            <w:pPr>
              <w:jc w:val="both"/>
              <w:rPr>
                <w:rFonts w:ascii="Arial" w:hAnsi="Arial" w:cs="Arial"/>
                <w:sz w:val="18"/>
                <w:szCs w:val="18"/>
              </w:rPr>
            </w:pPr>
            <w:r w:rsidRPr="00C42CF8">
              <w:rPr>
                <w:rFonts w:ascii="Arial" w:hAnsi="Arial" w:cs="Arial"/>
                <w:sz w:val="18"/>
                <w:szCs w:val="18"/>
              </w:rPr>
              <w:t xml:space="preserve">Cooperación internacional </w:t>
            </w:r>
          </w:p>
        </w:tc>
      </w:tr>
      <w:tr w:rsidR="002047EF" w:rsidRPr="00C42CF8" w:rsidTr="00212C5E">
        <w:trPr>
          <w:trHeight w:val="300"/>
        </w:trPr>
        <w:tc>
          <w:tcPr>
            <w:tcW w:w="0" w:type="auto"/>
            <w:gridSpan w:val="2"/>
            <w:tcBorders>
              <w:top w:val="single" w:sz="4" w:space="0" w:color="auto"/>
            </w:tcBorders>
            <w:shd w:val="clear" w:color="auto" w:fill="auto"/>
            <w:noWrap/>
            <w:tcMar>
              <w:top w:w="0" w:type="dxa"/>
              <w:left w:w="70" w:type="dxa"/>
              <w:bottom w:w="0" w:type="dxa"/>
              <w:right w:w="70" w:type="dxa"/>
            </w:tcMar>
            <w:vAlign w:val="center"/>
          </w:tcPr>
          <w:p w:rsidR="002047EF" w:rsidRPr="00C42CF8" w:rsidRDefault="002047EF" w:rsidP="00212C5E">
            <w:pPr>
              <w:jc w:val="center"/>
              <w:rPr>
                <w:rFonts w:ascii="Arial" w:hAnsi="Arial" w:cs="Arial"/>
                <w:sz w:val="18"/>
                <w:szCs w:val="18"/>
              </w:rPr>
            </w:pPr>
            <w:r w:rsidRPr="00C42CF8">
              <w:rPr>
                <w:rFonts w:ascii="Arial" w:hAnsi="Arial" w:cs="Arial"/>
                <w:sz w:val="18"/>
                <w:szCs w:val="18"/>
              </w:rPr>
              <w:t>Fuente: Ministerio del Trabajo</w:t>
            </w:r>
            <w:r>
              <w:rPr>
                <w:rFonts w:ascii="Arial" w:hAnsi="Arial" w:cs="Arial"/>
                <w:sz w:val="18"/>
                <w:szCs w:val="18"/>
              </w:rPr>
              <w:t xml:space="preserve">, </w:t>
            </w:r>
            <w:r w:rsidRPr="00C42CF8">
              <w:rPr>
                <w:rFonts w:ascii="Arial" w:hAnsi="Arial" w:cs="Arial"/>
                <w:sz w:val="18"/>
                <w:szCs w:val="18"/>
              </w:rPr>
              <w:t>2013. Taller de oferta institucional. Diseño: FUPAD</w:t>
            </w:r>
          </w:p>
          <w:p w:rsidR="002047EF" w:rsidRPr="006E2D80" w:rsidRDefault="002047EF" w:rsidP="00212C5E">
            <w:pPr>
              <w:jc w:val="center"/>
              <w:rPr>
                <w:rFonts w:ascii="Arial" w:hAnsi="Arial" w:cs="Arial"/>
                <w:sz w:val="18"/>
                <w:szCs w:val="18"/>
              </w:rPr>
            </w:pPr>
          </w:p>
        </w:tc>
      </w:tr>
    </w:tbl>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pStyle w:val="Sinespaciado1"/>
        <w:jc w:val="both"/>
        <w:rPr>
          <w:rFonts w:ascii="Arial" w:hAnsi="Arial" w:cs="Arial"/>
          <w:szCs w:val="22"/>
        </w:rPr>
      </w:pPr>
      <w:r>
        <w:rPr>
          <w:rFonts w:ascii="Arial" w:hAnsi="Arial" w:cs="Arial"/>
          <w:szCs w:val="22"/>
        </w:rPr>
        <w:t>A continuación se presenta</w:t>
      </w:r>
      <w:r w:rsidRPr="00017881">
        <w:rPr>
          <w:rFonts w:ascii="Arial" w:hAnsi="Arial" w:cs="Arial"/>
          <w:szCs w:val="22"/>
        </w:rPr>
        <w:t xml:space="preserve"> </w:t>
      </w:r>
      <w:r>
        <w:rPr>
          <w:rFonts w:ascii="Arial" w:hAnsi="Arial" w:cs="Arial"/>
          <w:szCs w:val="22"/>
        </w:rPr>
        <w:t>la</w:t>
      </w:r>
      <w:r w:rsidRPr="00017881">
        <w:rPr>
          <w:rFonts w:ascii="Arial" w:hAnsi="Arial" w:cs="Arial"/>
          <w:szCs w:val="22"/>
        </w:rPr>
        <w:t xml:space="preserve"> relación de los gremios más representativos con presencia en el departamento </w:t>
      </w:r>
      <w:r>
        <w:rPr>
          <w:rFonts w:ascii="Arial" w:hAnsi="Arial" w:cs="Arial"/>
          <w:szCs w:val="22"/>
        </w:rPr>
        <w:t xml:space="preserve">de </w:t>
      </w:r>
      <w:r w:rsidR="00056952">
        <w:rPr>
          <w:rFonts w:ascii="Arial" w:hAnsi="Arial" w:cs="Arial"/>
          <w:szCs w:val="22"/>
        </w:rPr>
        <w:t>Bolívar</w:t>
      </w:r>
      <w:r>
        <w:rPr>
          <w:rFonts w:ascii="Arial" w:hAnsi="Arial" w:cs="Arial"/>
          <w:szCs w:val="22"/>
        </w:rPr>
        <w:t xml:space="preserve"> </w:t>
      </w:r>
      <w:r w:rsidRPr="00017881">
        <w:rPr>
          <w:rFonts w:ascii="Arial" w:hAnsi="Arial" w:cs="Arial"/>
          <w:szCs w:val="22"/>
        </w:rPr>
        <w:t xml:space="preserve">y sus </w:t>
      </w:r>
      <w:r>
        <w:rPr>
          <w:rFonts w:ascii="Arial" w:hAnsi="Arial" w:cs="Arial"/>
          <w:szCs w:val="22"/>
        </w:rPr>
        <w:t>funciones</w:t>
      </w:r>
      <w:r w:rsidRPr="00017881">
        <w:rPr>
          <w:rFonts w:ascii="Arial" w:hAnsi="Arial" w:cs="Arial"/>
          <w:szCs w:val="22"/>
        </w:rPr>
        <w:t xml:space="preserve"> como organización</w:t>
      </w:r>
      <w:r>
        <w:rPr>
          <w:rFonts w:ascii="Arial" w:hAnsi="Arial" w:cs="Arial"/>
          <w:szCs w:val="22"/>
        </w:rPr>
        <w:t>.</w:t>
      </w:r>
    </w:p>
    <w:p w:rsidR="002047EF" w:rsidRPr="00A021C6" w:rsidRDefault="00A021C6" w:rsidP="00A021C6">
      <w:pPr>
        <w:pStyle w:val="Epgrafe"/>
        <w:jc w:val="center"/>
        <w:rPr>
          <w:rFonts w:ascii="Arial" w:hAnsi="Arial" w:cs="Arial"/>
          <w:bCs w:val="0"/>
          <w:color w:val="auto"/>
          <w:sz w:val="22"/>
          <w:szCs w:val="22"/>
        </w:rPr>
      </w:pPr>
      <w:bookmarkStart w:id="163" w:name="_Toc386206709"/>
      <w:bookmarkStart w:id="164" w:name="_Toc389667026"/>
      <w:r w:rsidRPr="00A021C6">
        <w:rPr>
          <w:rFonts w:ascii="Arial" w:hAnsi="Arial" w:cs="Arial"/>
          <w:color w:val="auto"/>
          <w:sz w:val="22"/>
          <w:szCs w:val="22"/>
        </w:rPr>
        <w:t xml:space="preserve">Tabla </w:t>
      </w:r>
      <w:r w:rsidRPr="00A021C6">
        <w:rPr>
          <w:rFonts w:ascii="Arial" w:hAnsi="Arial" w:cs="Arial"/>
          <w:color w:val="auto"/>
          <w:sz w:val="22"/>
          <w:szCs w:val="22"/>
        </w:rPr>
        <w:fldChar w:fldCharType="begin"/>
      </w:r>
      <w:r w:rsidRPr="00A021C6">
        <w:rPr>
          <w:rFonts w:ascii="Arial" w:hAnsi="Arial" w:cs="Arial"/>
          <w:color w:val="auto"/>
          <w:sz w:val="22"/>
          <w:szCs w:val="22"/>
        </w:rPr>
        <w:instrText xml:space="preserve"> SEQ Tabla \* ARABIC </w:instrText>
      </w:r>
      <w:r w:rsidRPr="00A021C6">
        <w:rPr>
          <w:rFonts w:ascii="Arial" w:hAnsi="Arial" w:cs="Arial"/>
          <w:color w:val="auto"/>
          <w:sz w:val="22"/>
          <w:szCs w:val="22"/>
        </w:rPr>
        <w:fldChar w:fldCharType="separate"/>
      </w:r>
      <w:r w:rsidR="00D9744C">
        <w:rPr>
          <w:rFonts w:ascii="Arial" w:hAnsi="Arial" w:cs="Arial"/>
          <w:noProof/>
          <w:color w:val="auto"/>
          <w:sz w:val="22"/>
          <w:szCs w:val="22"/>
        </w:rPr>
        <w:t>13</w:t>
      </w:r>
      <w:r w:rsidRPr="00A021C6">
        <w:rPr>
          <w:rFonts w:ascii="Arial" w:hAnsi="Arial" w:cs="Arial"/>
          <w:color w:val="auto"/>
          <w:sz w:val="22"/>
          <w:szCs w:val="22"/>
        </w:rPr>
        <w:fldChar w:fldCharType="end"/>
      </w:r>
      <w:r w:rsidR="002047EF" w:rsidRPr="00A021C6">
        <w:rPr>
          <w:rFonts w:ascii="Arial" w:hAnsi="Arial" w:cs="Arial"/>
          <w:bCs w:val="0"/>
          <w:color w:val="auto"/>
          <w:sz w:val="22"/>
          <w:szCs w:val="22"/>
        </w:rPr>
        <w:t xml:space="preserve">. Tejido institucional gremial de </w:t>
      </w:r>
      <w:bookmarkEnd w:id="163"/>
      <w:r w:rsidR="00056952" w:rsidRPr="00A021C6">
        <w:rPr>
          <w:rFonts w:ascii="Arial" w:hAnsi="Arial" w:cs="Arial"/>
          <w:bCs w:val="0"/>
          <w:color w:val="auto"/>
          <w:sz w:val="22"/>
          <w:szCs w:val="22"/>
        </w:rPr>
        <w:t>Bolívar</w:t>
      </w:r>
      <w:bookmarkEnd w:id="164"/>
    </w:p>
    <w:p w:rsidR="002047EF" w:rsidRPr="006E3AA8" w:rsidRDefault="002047EF" w:rsidP="002047EF">
      <w:pPr>
        <w:autoSpaceDE w:val="0"/>
        <w:autoSpaceDN w:val="0"/>
        <w:adjustRightInd w:val="0"/>
        <w:spacing w:line="276" w:lineRule="auto"/>
        <w:jc w:val="both"/>
        <w:rPr>
          <w:rFonts w:ascii="Arial" w:eastAsiaTheme="minorHAnsi" w:hAnsi="Arial" w:cs="Arial"/>
        </w:rPr>
      </w:pPr>
    </w:p>
    <w:tbl>
      <w:tblPr>
        <w:tblStyle w:val="Tablaconcuadrcula"/>
        <w:tblW w:w="0" w:type="auto"/>
        <w:tblLook w:val="04A0" w:firstRow="1" w:lastRow="0" w:firstColumn="1" w:lastColumn="0" w:noHBand="0" w:noVBand="1"/>
      </w:tblPr>
      <w:tblGrid>
        <w:gridCol w:w="2226"/>
        <w:gridCol w:w="6488"/>
      </w:tblGrid>
      <w:tr w:rsidR="002047EF" w:rsidRPr="00991FFA" w:rsidTr="00281FA2">
        <w:trPr>
          <w:trHeight w:val="525"/>
        </w:trPr>
        <w:tc>
          <w:tcPr>
            <w:tcW w:w="2226" w:type="dxa"/>
            <w:noWrap/>
            <w:vAlign w:val="center"/>
            <w:hideMark/>
          </w:tcPr>
          <w:p w:rsidR="002047EF" w:rsidRPr="00991FFA" w:rsidRDefault="002047EF" w:rsidP="00212C5E">
            <w:pPr>
              <w:autoSpaceDE w:val="0"/>
              <w:autoSpaceDN w:val="0"/>
              <w:adjustRightInd w:val="0"/>
              <w:rPr>
                <w:rFonts w:ascii="Arial" w:hAnsi="Arial" w:cs="Arial"/>
                <w:b/>
                <w:bCs/>
                <w:sz w:val="18"/>
                <w:szCs w:val="18"/>
              </w:rPr>
            </w:pPr>
            <w:r w:rsidRPr="00991FFA">
              <w:rPr>
                <w:rFonts w:ascii="Arial" w:hAnsi="Arial" w:cs="Arial"/>
                <w:b/>
                <w:bCs/>
                <w:sz w:val="18"/>
                <w:szCs w:val="18"/>
              </w:rPr>
              <w:t>Gremios</w:t>
            </w:r>
          </w:p>
        </w:tc>
        <w:tc>
          <w:tcPr>
            <w:tcW w:w="6488" w:type="dxa"/>
            <w:noWrap/>
            <w:vAlign w:val="center"/>
            <w:hideMark/>
          </w:tcPr>
          <w:p w:rsidR="002047EF" w:rsidRPr="00991FFA" w:rsidRDefault="002047EF" w:rsidP="00212C5E">
            <w:pPr>
              <w:autoSpaceDE w:val="0"/>
              <w:autoSpaceDN w:val="0"/>
              <w:adjustRightInd w:val="0"/>
              <w:rPr>
                <w:rFonts w:ascii="Arial" w:hAnsi="Arial" w:cs="Arial"/>
                <w:b/>
                <w:bCs/>
                <w:sz w:val="18"/>
                <w:szCs w:val="18"/>
              </w:rPr>
            </w:pPr>
            <w:r>
              <w:rPr>
                <w:rFonts w:ascii="Arial" w:hAnsi="Arial" w:cs="Arial"/>
                <w:b/>
                <w:bCs/>
                <w:sz w:val="18"/>
                <w:szCs w:val="18"/>
              </w:rPr>
              <w:t>Función</w:t>
            </w:r>
          </w:p>
        </w:tc>
      </w:tr>
      <w:tr w:rsidR="002047EF" w:rsidRPr="00991FFA" w:rsidTr="00281FA2">
        <w:trPr>
          <w:trHeight w:val="723"/>
        </w:trPr>
        <w:tc>
          <w:tcPr>
            <w:tcW w:w="2226" w:type="dxa"/>
            <w:noWrap/>
            <w:vAlign w:val="center"/>
            <w:hideMark/>
          </w:tcPr>
          <w:p w:rsidR="002047EF" w:rsidRPr="00991FFA" w:rsidRDefault="002047EF" w:rsidP="00212C5E">
            <w:pPr>
              <w:autoSpaceDE w:val="0"/>
              <w:autoSpaceDN w:val="0"/>
              <w:adjustRightInd w:val="0"/>
              <w:rPr>
                <w:rFonts w:ascii="Arial" w:hAnsi="Arial" w:cs="Arial"/>
                <w:b/>
                <w:bCs/>
                <w:sz w:val="18"/>
                <w:szCs w:val="18"/>
              </w:rPr>
            </w:pPr>
            <w:r>
              <w:rPr>
                <w:rFonts w:ascii="Arial" w:hAnsi="Arial" w:cs="Arial"/>
                <w:b/>
                <w:bCs/>
                <w:sz w:val="18"/>
                <w:szCs w:val="18"/>
              </w:rPr>
              <w:t>COTELCO Capítulo Cartagena</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Agremiar y representar a los empresarios de la industria Hotelera en</w:t>
            </w:r>
            <w:r w:rsidRPr="00991FFA">
              <w:rPr>
                <w:rFonts w:ascii="Arial" w:hAnsi="Arial" w:cs="Arial"/>
                <w:sz w:val="18"/>
                <w:szCs w:val="18"/>
              </w:rPr>
              <w:br/>
              <w:t>Colombia, uniendo esfuerzos que contribuyan a su competitividad y al</w:t>
            </w:r>
            <w:r w:rsidRPr="00991FFA">
              <w:rPr>
                <w:rFonts w:ascii="Arial" w:hAnsi="Arial" w:cs="Arial"/>
                <w:sz w:val="18"/>
                <w:szCs w:val="18"/>
              </w:rPr>
              <w:br/>
              <w:t>desarrollo sostenible del sector turístico.</w:t>
            </w:r>
          </w:p>
        </w:tc>
      </w:tr>
      <w:tr w:rsidR="002047EF" w:rsidRPr="00991FFA" w:rsidTr="00281FA2">
        <w:trPr>
          <w:trHeight w:val="1272"/>
        </w:trPr>
        <w:tc>
          <w:tcPr>
            <w:tcW w:w="2226" w:type="dxa"/>
            <w:noWrap/>
            <w:vAlign w:val="center"/>
            <w:hideMark/>
          </w:tcPr>
          <w:p w:rsidR="002047EF" w:rsidRPr="00991FFA" w:rsidRDefault="002047EF" w:rsidP="00212C5E">
            <w:pPr>
              <w:autoSpaceDE w:val="0"/>
              <w:autoSpaceDN w:val="0"/>
              <w:adjustRightInd w:val="0"/>
              <w:rPr>
                <w:rFonts w:ascii="Arial" w:hAnsi="Arial" w:cs="Arial"/>
                <w:b/>
                <w:bCs/>
                <w:sz w:val="18"/>
                <w:szCs w:val="18"/>
              </w:rPr>
            </w:pPr>
            <w:r>
              <w:rPr>
                <w:rFonts w:ascii="Arial" w:hAnsi="Arial" w:cs="Arial"/>
                <w:b/>
                <w:bCs/>
                <w:sz w:val="18"/>
                <w:szCs w:val="18"/>
              </w:rPr>
              <w:t>FENALCO Cartagena</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Gremio empresarial que representa, orienta y promueve el comercio y los servicios formales; fomentando su desarrollo sectorial; y apoya su fortalecimiento y modernización empresarial dentro de criterios de orientación al cliente, sostenibilidad financiera, desarrollo de las personas, servicios y generación de beneficios con procesos permanentes de innovación y aprendizaje de la organización.</w:t>
            </w:r>
          </w:p>
        </w:tc>
      </w:tr>
      <w:tr w:rsidR="002047EF" w:rsidRPr="00991FFA" w:rsidTr="00281FA2">
        <w:trPr>
          <w:trHeight w:val="855"/>
        </w:trPr>
        <w:tc>
          <w:tcPr>
            <w:tcW w:w="2226" w:type="dxa"/>
            <w:vAlign w:val="center"/>
            <w:hideMark/>
          </w:tcPr>
          <w:p w:rsidR="002047EF" w:rsidRPr="00991FFA" w:rsidRDefault="002047EF" w:rsidP="00212C5E">
            <w:pPr>
              <w:autoSpaceDE w:val="0"/>
              <w:autoSpaceDN w:val="0"/>
              <w:adjustRightInd w:val="0"/>
              <w:rPr>
                <w:rFonts w:ascii="Arial" w:hAnsi="Arial" w:cs="Arial"/>
                <w:b/>
                <w:bCs/>
                <w:sz w:val="18"/>
                <w:szCs w:val="18"/>
              </w:rPr>
            </w:pPr>
            <w:r w:rsidRPr="00B43183">
              <w:rPr>
                <w:rFonts w:ascii="Arial" w:hAnsi="Arial" w:cs="Arial"/>
                <w:b/>
                <w:bCs/>
                <w:sz w:val="18"/>
                <w:szCs w:val="18"/>
              </w:rPr>
              <w:t>Asociación Colombiana de Pequeñas y</w:t>
            </w:r>
            <w:r>
              <w:rPr>
                <w:rFonts w:ascii="Arial" w:hAnsi="Arial" w:cs="Arial"/>
                <w:b/>
                <w:bCs/>
                <w:sz w:val="18"/>
                <w:szCs w:val="18"/>
              </w:rPr>
              <w:t xml:space="preserve"> Medianas Empresas Acopi - </w:t>
            </w:r>
            <w:r>
              <w:rPr>
                <w:rFonts w:ascii="Arial" w:hAnsi="Arial" w:cs="Arial"/>
                <w:b/>
                <w:bCs/>
                <w:sz w:val="18"/>
                <w:szCs w:val="18"/>
              </w:rPr>
              <w:lastRenderedPageBreak/>
              <w:t>Cartagena</w:t>
            </w:r>
            <w:r w:rsidRPr="00B43183">
              <w:rPr>
                <w:rFonts w:ascii="Arial" w:hAnsi="Arial" w:cs="Arial"/>
                <w:b/>
                <w:bCs/>
                <w:sz w:val="18"/>
                <w:szCs w:val="18"/>
              </w:rPr>
              <w:t>-</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lastRenderedPageBreak/>
              <w:t>Gremio que contribuye al desarrollo y crecimiento del sector empresarial facilitando y liderando procesos de formación permanente, innovación, tecnología, calidad, asociatividad, orientación empresarial, estrategias de mercadeo y representación gremial.</w:t>
            </w:r>
          </w:p>
        </w:tc>
      </w:tr>
      <w:tr w:rsidR="002047EF" w:rsidRPr="00991FFA" w:rsidTr="00281FA2">
        <w:trPr>
          <w:trHeight w:val="1133"/>
        </w:trPr>
        <w:tc>
          <w:tcPr>
            <w:tcW w:w="2226" w:type="dxa"/>
            <w:noWrap/>
            <w:vAlign w:val="center"/>
            <w:hideMark/>
          </w:tcPr>
          <w:p w:rsidR="002047EF" w:rsidRPr="00991FFA" w:rsidRDefault="002047EF" w:rsidP="00212C5E">
            <w:pPr>
              <w:autoSpaceDE w:val="0"/>
              <w:autoSpaceDN w:val="0"/>
              <w:adjustRightInd w:val="0"/>
              <w:rPr>
                <w:rFonts w:ascii="Arial" w:hAnsi="Arial" w:cs="Arial"/>
                <w:b/>
                <w:bCs/>
                <w:sz w:val="18"/>
                <w:szCs w:val="18"/>
              </w:rPr>
            </w:pPr>
            <w:r>
              <w:rPr>
                <w:rFonts w:ascii="Arial" w:hAnsi="Arial" w:cs="Arial"/>
                <w:b/>
                <w:bCs/>
                <w:sz w:val="18"/>
                <w:szCs w:val="18"/>
              </w:rPr>
              <w:lastRenderedPageBreak/>
              <w:t>ACODRÉS Capítulo Cartagena</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El gremio que representa los intereses de la industria gastronómica colombiana, bajo unos principios de ética empresarial y solidaridad con el desarrollo del país. La asociación está organizada como una federación en la cual cada capítulo propende por los intereses locales de sus afiliados y por el desarrollo sostenible de su región.</w:t>
            </w:r>
          </w:p>
        </w:tc>
      </w:tr>
      <w:tr w:rsidR="002047EF" w:rsidRPr="00991FFA" w:rsidTr="00281FA2">
        <w:trPr>
          <w:trHeight w:val="1121"/>
        </w:trPr>
        <w:tc>
          <w:tcPr>
            <w:tcW w:w="2226" w:type="dxa"/>
            <w:vAlign w:val="center"/>
            <w:hideMark/>
          </w:tcPr>
          <w:p w:rsidR="002047EF" w:rsidRPr="00991FFA" w:rsidRDefault="002047EF" w:rsidP="00212C5E">
            <w:pPr>
              <w:autoSpaceDE w:val="0"/>
              <w:autoSpaceDN w:val="0"/>
              <w:adjustRightInd w:val="0"/>
              <w:rPr>
                <w:rFonts w:ascii="Arial" w:hAnsi="Arial" w:cs="Arial"/>
                <w:b/>
                <w:bCs/>
                <w:sz w:val="18"/>
                <w:szCs w:val="18"/>
              </w:rPr>
            </w:pPr>
            <w:r w:rsidRPr="00B43183">
              <w:rPr>
                <w:rFonts w:ascii="Arial" w:hAnsi="Arial" w:cs="Arial"/>
                <w:b/>
                <w:bCs/>
                <w:sz w:val="18"/>
                <w:szCs w:val="18"/>
              </w:rPr>
              <w:t>Cámara de Comercio de Cartagena</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 xml:space="preserve">Institución de derecho privado, de carácter corporativo, gremial y sin ánimo de lucro que cumple funciones delegadas por el Estado, promueve, gestiona y orienta sus recursos y acciones para el mejoramiento de la productividad y la competitividad de las empresas </w:t>
            </w:r>
            <w:r>
              <w:rPr>
                <w:rFonts w:ascii="Arial" w:hAnsi="Arial" w:cs="Arial"/>
                <w:sz w:val="18"/>
                <w:szCs w:val="18"/>
              </w:rPr>
              <w:t>y entidades del departamento de</w:t>
            </w:r>
            <w:r w:rsidRPr="00991FFA">
              <w:rPr>
                <w:rFonts w:ascii="Arial" w:hAnsi="Arial" w:cs="Arial"/>
                <w:sz w:val="18"/>
                <w:szCs w:val="18"/>
              </w:rPr>
              <w:t xml:space="preserve"> </w:t>
            </w:r>
            <w:r w:rsidR="001B0468">
              <w:rPr>
                <w:rFonts w:ascii="Arial" w:hAnsi="Arial" w:cs="Arial"/>
                <w:sz w:val="18"/>
                <w:szCs w:val="18"/>
              </w:rPr>
              <w:t>Bolívar</w:t>
            </w:r>
            <w:r w:rsidRPr="00991FFA">
              <w:rPr>
                <w:rFonts w:ascii="Arial" w:hAnsi="Arial" w:cs="Arial"/>
                <w:sz w:val="18"/>
                <w:szCs w:val="18"/>
              </w:rPr>
              <w:t>, a la vez que impulsa el emprendimiento en la región.</w:t>
            </w:r>
          </w:p>
        </w:tc>
      </w:tr>
      <w:tr w:rsidR="002047EF" w:rsidRPr="00991FFA" w:rsidTr="00281FA2">
        <w:trPr>
          <w:trHeight w:val="541"/>
        </w:trPr>
        <w:tc>
          <w:tcPr>
            <w:tcW w:w="2226" w:type="dxa"/>
            <w:vAlign w:val="center"/>
            <w:hideMark/>
          </w:tcPr>
          <w:p w:rsidR="002047EF" w:rsidRPr="00991FFA" w:rsidRDefault="002047EF" w:rsidP="00212C5E">
            <w:pPr>
              <w:autoSpaceDE w:val="0"/>
              <w:autoSpaceDN w:val="0"/>
              <w:adjustRightInd w:val="0"/>
              <w:rPr>
                <w:rFonts w:ascii="Arial" w:hAnsi="Arial" w:cs="Arial"/>
                <w:b/>
                <w:bCs/>
                <w:sz w:val="18"/>
                <w:szCs w:val="18"/>
              </w:rPr>
            </w:pPr>
            <w:r>
              <w:rPr>
                <w:rFonts w:ascii="Arial" w:hAnsi="Arial" w:cs="Arial"/>
                <w:b/>
                <w:bCs/>
                <w:sz w:val="18"/>
                <w:szCs w:val="18"/>
              </w:rPr>
              <w:t>Sociedad</w:t>
            </w:r>
            <w:r w:rsidRPr="00991FFA">
              <w:rPr>
                <w:rFonts w:ascii="Arial" w:hAnsi="Arial" w:cs="Arial"/>
                <w:b/>
                <w:bCs/>
                <w:sz w:val="18"/>
                <w:szCs w:val="18"/>
              </w:rPr>
              <w:t xml:space="preserve"> de </w:t>
            </w:r>
            <w:r>
              <w:rPr>
                <w:rFonts w:ascii="Arial" w:hAnsi="Arial" w:cs="Arial"/>
                <w:b/>
                <w:bCs/>
                <w:sz w:val="18"/>
                <w:szCs w:val="18"/>
              </w:rPr>
              <w:t>I</w:t>
            </w:r>
            <w:r w:rsidRPr="00991FFA">
              <w:rPr>
                <w:rFonts w:ascii="Arial" w:hAnsi="Arial" w:cs="Arial"/>
                <w:b/>
                <w:bCs/>
                <w:sz w:val="18"/>
                <w:szCs w:val="18"/>
              </w:rPr>
              <w:t>ngenieros</w:t>
            </w:r>
            <w:r>
              <w:rPr>
                <w:rFonts w:ascii="Arial" w:hAnsi="Arial" w:cs="Arial"/>
                <w:b/>
                <w:bCs/>
                <w:sz w:val="18"/>
                <w:szCs w:val="18"/>
              </w:rPr>
              <w:t xml:space="preserve"> y Arquitectos de </w:t>
            </w:r>
            <w:r w:rsidR="001B0468">
              <w:rPr>
                <w:rFonts w:ascii="Arial" w:hAnsi="Arial" w:cs="Arial"/>
                <w:b/>
                <w:bCs/>
                <w:sz w:val="18"/>
                <w:szCs w:val="18"/>
              </w:rPr>
              <w:t>Bolívar</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La asociación tiene por objeto agrupar a los profesionales de la ingeniería y propender por su bienestar, unión y permanente actualización.</w:t>
            </w:r>
          </w:p>
        </w:tc>
      </w:tr>
      <w:tr w:rsidR="002047EF" w:rsidRPr="00991FFA" w:rsidTr="00281FA2">
        <w:trPr>
          <w:trHeight w:val="525"/>
        </w:trPr>
        <w:tc>
          <w:tcPr>
            <w:tcW w:w="2226" w:type="dxa"/>
            <w:vAlign w:val="center"/>
            <w:hideMark/>
          </w:tcPr>
          <w:p w:rsidR="002047EF" w:rsidRPr="00991FFA" w:rsidRDefault="002047EF" w:rsidP="00212C5E">
            <w:pPr>
              <w:autoSpaceDE w:val="0"/>
              <w:autoSpaceDN w:val="0"/>
              <w:adjustRightInd w:val="0"/>
              <w:rPr>
                <w:rFonts w:ascii="Arial" w:hAnsi="Arial" w:cs="Arial"/>
                <w:b/>
                <w:bCs/>
                <w:sz w:val="18"/>
                <w:szCs w:val="18"/>
              </w:rPr>
            </w:pPr>
            <w:r w:rsidRPr="00194917">
              <w:rPr>
                <w:rFonts w:ascii="Arial" w:hAnsi="Arial" w:cs="Arial"/>
                <w:b/>
                <w:bCs/>
                <w:sz w:val="18"/>
                <w:szCs w:val="18"/>
              </w:rPr>
              <w:t>Asociación Nac</w:t>
            </w:r>
            <w:r>
              <w:rPr>
                <w:rFonts w:ascii="Arial" w:hAnsi="Arial" w:cs="Arial"/>
                <w:b/>
                <w:bCs/>
                <w:sz w:val="18"/>
                <w:szCs w:val="18"/>
              </w:rPr>
              <w:t xml:space="preserve">ional de Empresarios ANDI, </w:t>
            </w:r>
            <w:r w:rsidR="001B0468">
              <w:rPr>
                <w:rFonts w:ascii="Arial" w:hAnsi="Arial" w:cs="Arial"/>
                <w:b/>
                <w:bCs/>
                <w:sz w:val="18"/>
                <w:szCs w:val="18"/>
              </w:rPr>
              <w:t>Bolívar</w:t>
            </w:r>
          </w:p>
        </w:tc>
        <w:tc>
          <w:tcPr>
            <w:tcW w:w="6488" w:type="dxa"/>
            <w:vAlign w:val="center"/>
            <w:hideMark/>
          </w:tcPr>
          <w:p w:rsidR="002047EF" w:rsidRPr="00991FFA" w:rsidRDefault="002047EF" w:rsidP="00212C5E">
            <w:pPr>
              <w:autoSpaceDE w:val="0"/>
              <w:autoSpaceDN w:val="0"/>
              <w:adjustRightInd w:val="0"/>
              <w:rPr>
                <w:rFonts w:ascii="Arial" w:hAnsi="Arial" w:cs="Arial"/>
                <w:sz w:val="18"/>
                <w:szCs w:val="18"/>
              </w:rPr>
            </w:pPr>
            <w:r w:rsidRPr="00991FFA">
              <w:rPr>
                <w:rFonts w:ascii="Arial" w:hAnsi="Arial" w:cs="Arial"/>
                <w:sz w:val="18"/>
                <w:szCs w:val="18"/>
              </w:rPr>
              <w:t>Agremiación sin ánimo de lucro, que tiene como objetivo difundir y propiciar los principios políticos, económicos y sociales de un sano sistema de libre empresa.</w:t>
            </w:r>
          </w:p>
        </w:tc>
      </w:tr>
    </w:tbl>
    <w:p w:rsidR="002047EF" w:rsidRPr="003A37B7" w:rsidRDefault="002047EF" w:rsidP="002047EF">
      <w:pPr>
        <w:pStyle w:val="Sinespaciado"/>
        <w:rPr>
          <w:rFonts w:ascii="Arial" w:hAnsi="Arial" w:cs="Arial"/>
          <w:color w:val="000000"/>
          <w:sz w:val="18"/>
          <w:szCs w:val="18"/>
        </w:rPr>
      </w:pPr>
      <w:r w:rsidRPr="003A37B7">
        <w:rPr>
          <w:rFonts w:ascii="Arial" w:hAnsi="Arial" w:cs="Arial"/>
          <w:sz w:val="18"/>
          <w:szCs w:val="18"/>
        </w:rPr>
        <w:t xml:space="preserve">Fuente: Elaboración propia con base en los datos de las </w:t>
      </w:r>
      <w:r w:rsidRPr="003A37B7">
        <w:rPr>
          <w:rFonts w:ascii="Arial" w:eastAsiaTheme="minorHAnsi" w:hAnsi="Arial" w:cs="Arial"/>
          <w:sz w:val="18"/>
          <w:szCs w:val="18"/>
        </w:rPr>
        <w:t>páginas institucionales de cada gremio</w:t>
      </w:r>
    </w:p>
    <w:p w:rsidR="002047EF" w:rsidRPr="003A37B7" w:rsidRDefault="002047EF" w:rsidP="002047EF">
      <w:pPr>
        <w:autoSpaceDE w:val="0"/>
        <w:autoSpaceDN w:val="0"/>
        <w:adjustRightInd w:val="0"/>
        <w:spacing w:line="276" w:lineRule="auto"/>
        <w:jc w:val="both"/>
        <w:rPr>
          <w:rFonts w:ascii="Arial" w:eastAsiaTheme="minorHAnsi" w:hAnsi="Arial" w:cs="Arial"/>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Pr="00E154EB" w:rsidRDefault="00E154EB" w:rsidP="00E154EB">
      <w:pPr>
        <w:pStyle w:val="Ttulo3"/>
        <w:rPr>
          <w:rFonts w:ascii="Arial" w:hAnsi="Arial" w:cs="Arial"/>
          <w:color w:val="C00000"/>
        </w:rPr>
      </w:pPr>
      <w:bookmarkStart w:id="165" w:name="_Toc389666634"/>
      <w:r w:rsidRPr="00E154EB">
        <w:rPr>
          <w:rFonts w:ascii="Arial" w:hAnsi="Arial" w:cs="Arial"/>
          <w:color w:val="C00000"/>
        </w:rPr>
        <w:t xml:space="preserve">5.1.1 </w:t>
      </w:r>
      <w:r w:rsidR="002047EF" w:rsidRPr="00E154EB">
        <w:rPr>
          <w:rFonts w:ascii="Arial" w:hAnsi="Arial" w:cs="Arial"/>
          <w:color w:val="C00000"/>
        </w:rPr>
        <w:t>Capacidad institucional de las entidades territoriales</w:t>
      </w:r>
      <w:bookmarkEnd w:id="165"/>
    </w:p>
    <w:p w:rsidR="002047EF" w:rsidRDefault="002047EF" w:rsidP="002047EF"/>
    <w:p w:rsidR="002047EF" w:rsidRPr="00EC18C0" w:rsidRDefault="002047EF" w:rsidP="002047EF">
      <w:pPr>
        <w:autoSpaceDE w:val="0"/>
        <w:autoSpaceDN w:val="0"/>
        <w:adjustRightInd w:val="0"/>
        <w:spacing w:line="276" w:lineRule="auto"/>
        <w:jc w:val="both"/>
        <w:rPr>
          <w:rFonts w:ascii="Arial" w:eastAsiaTheme="minorHAnsi" w:hAnsi="Arial" w:cs="Arial"/>
          <w:color w:val="000000"/>
          <w:lang w:val="es-CO"/>
        </w:rPr>
      </w:pPr>
      <w:r w:rsidRPr="00EC18C0">
        <w:rPr>
          <w:rFonts w:ascii="Arial" w:eastAsiaTheme="minorHAnsi" w:hAnsi="Arial" w:cs="Arial"/>
          <w:color w:val="000000"/>
          <w:lang w:val="es-CO"/>
        </w:rPr>
        <w:t>La institucionalidad de los entes territoriales es un elemento fundamental para el diseño e implementación de políticas de empleabilidad, empresarismo y generación de ingresos. Aunado a esto, asegura que la política sea coherente con la apuesta de desarrollo del territorio y gestiona los recursos financieros necesarios para el logro de los resultados.</w:t>
      </w:r>
    </w:p>
    <w:p w:rsidR="002047EF" w:rsidRPr="00E154EB" w:rsidRDefault="002047EF" w:rsidP="002047EF">
      <w:pPr>
        <w:autoSpaceDE w:val="0"/>
        <w:autoSpaceDN w:val="0"/>
        <w:adjustRightInd w:val="0"/>
        <w:spacing w:line="276" w:lineRule="auto"/>
        <w:jc w:val="both"/>
        <w:rPr>
          <w:rFonts w:ascii="Arial" w:eastAsiaTheme="minorHAnsi" w:hAnsi="Arial" w:cs="Arial"/>
          <w:lang w:val="es-CO"/>
        </w:rPr>
      </w:pPr>
    </w:p>
    <w:p w:rsidR="002047EF" w:rsidRPr="00E154EB" w:rsidRDefault="002047EF" w:rsidP="002047EF">
      <w:pPr>
        <w:autoSpaceDE w:val="0"/>
        <w:autoSpaceDN w:val="0"/>
        <w:adjustRightInd w:val="0"/>
        <w:spacing w:line="276" w:lineRule="auto"/>
        <w:jc w:val="both"/>
        <w:rPr>
          <w:rFonts w:ascii="Arial" w:eastAsiaTheme="minorHAnsi" w:hAnsi="Arial" w:cs="Arial"/>
          <w:b/>
          <w:bCs/>
          <w:lang w:val="es-CO"/>
        </w:rPr>
      </w:pPr>
      <w:r w:rsidRPr="00E154EB">
        <w:rPr>
          <w:rFonts w:ascii="Arial" w:eastAsiaTheme="minorHAnsi" w:hAnsi="Arial" w:cs="Arial"/>
          <w:b/>
          <w:bCs/>
          <w:lang w:val="es-CO"/>
        </w:rPr>
        <w:t xml:space="preserve">La institucionalidad departamental </w:t>
      </w:r>
    </w:p>
    <w:p w:rsidR="002047EF" w:rsidRPr="00EC18C0" w:rsidRDefault="002047EF" w:rsidP="002047EF">
      <w:pPr>
        <w:autoSpaceDE w:val="0"/>
        <w:autoSpaceDN w:val="0"/>
        <w:adjustRightInd w:val="0"/>
        <w:spacing w:line="276" w:lineRule="auto"/>
        <w:jc w:val="both"/>
        <w:rPr>
          <w:rFonts w:ascii="Arial" w:eastAsiaTheme="minorHAnsi" w:hAnsi="Arial" w:cs="Arial"/>
          <w:b/>
          <w:bCs/>
          <w:color w:val="F60026"/>
          <w:lang w:val="es-CO"/>
        </w:rPr>
      </w:pPr>
    </w:p>
    <w:p w:rsidR="002047EF" w:rsidRPr="00EC18C0" w:rsidRDefault="002047EF" w:rsidP="002047EF">
      <w:pPr>
        <w:autoSpaceDE w:val="0"/>
        <w:autoSpaceDN w:val="0"/>
        <w:adjustRightInd w:val="0"/>
        <w:spacing w:line="276" w:lineRule="auto"/>
        <w:jc w:val="both"/>
        <w:rPr>
          <w:rFonts w:ascii="Arial" w:eastAsiaTheme="minorHAnsi" w:hAnsi="Arial" w:cs="Arial"/>
          <w:color w:val="000000"/>
          <w:lang w:val="es-CO"/>
        </w:rPr>
      </w:pPr>
      <w:r w:rsidRPr="00EC18C0">
        <w:rPr>
          <w:rFonts w:ascii="Arial" w:eastAsiaTheme="minorHAnsi" w:hAnsi="Arial" w:cs="Arial"/>
          <w:color w:val="000000"/>
          <w:lang w:val="es-CO"/>
        </w:rPr>
        <w:t>Está representada por la Gobernación de Bolívar, por medio del Departamento administrativo de planeación y, particularmente, a través de la Unidad de Desarrollo Económico, responden por la política de desarrollo económico y empleo del departamento. El Departamento de Planeación tiene entre sus funciones las de dirigir las acciones pertinentes, de acuerdo con las instrucciones del Gobernador, la política económica del departamento, coordinando con las Secretarías y entidades descentralizadas ejecutoras de programas y proyectos productivos, especialmente en la articulación de alianzas productivas y sociales orientadas hacia la competitividad.</w:t>
      </w:r>
    </w:p>
    <w:p w:rsidR="002047EF" w:rsidRPr="00EC18C0" w:rsidRDefault="002047EF" w:rsidP="002047EF">
      <w:pPr>
        <w:autoSpaceDE w:val="0"/>
        <w:autoSpaceDN w:val="0"/>
        <w:adjustRightInd w:val="0"/>
        <w:spacing w:line="276" w:lineRule="auto"/>
        <w:jc w:val="both"/>
        <w:rPr>
          <w:rFonts w:ascii="Arial" w:eastAsiaTheme="minorHAnsi" w:hAnsi="Arial" w:cs="Arial"/>
          <w:color w:val="000000"/>
          <w:lang w:val="es-CO"/>
        </w:rPr>
      </w:pPr>
    </w:p>
    <w:p w:rsidR="002047EF" w:rsidRPr="00EC18C0" w:rsidRDefault="002047EF" w:rsidP="002047EF">
      <w:pPr>
        <w:autoSpaceDE w:val="0"/>
        <w:autoSpaceDN w:val="0"/>
        <w:adjustRightInd w:val="0"/>
        <w:spacing w:line="276" w:lineRule="auto"/>
        <w:jc w:val="both"/>
        <w:rPr>
          <w:rFonts w:ascii="Arial" w:eastAsiaTheme="minorHAnsi" w:hAnsi="Arial" w:cs="Arial"/>
          <w:color w:val="000000"/>
          <w:lang w:val="es-CO"/>
        </w:rPr>
      </w:pPr>
      <w:r w:rsidRPr="00EC18C0">
        <w:rPr>
          <w:rFonts w:ascii="Arial" w:eastAsiaTheme="minorHAnsi" w:hAnsi="Arial" w:cs="Arial"/>
          <w:color w:val="000000"/>
          <w:lang w:val="es-CO"/>
        </w:rPr>
        <w:t>El Plan de Desarrollo Departamental 2012 - 2015 “Bolívar Ganador” contempla dentro de su objetivo estratégico “Bolívar, con economía regional competitiva” impulsar las apuestas productivas priorizadas en el Plan de Competitividad regional Cartagena y Bolívar 2008-2032, a través de programas de fortalecimiento y tecnificación de sectores estratégicos como la agroindustria, turismo, minería, artesanías y ciencia y tecnología. Sin embargo, no se fijan metas sobre la creación de empleos directos generados por el crecimiento estos sectores.</w:t>
      </w:r>
    </w:p>
    <w:p w:rsidR="002047EF" w:rsidRPr="00EC18C0" w:rsidRDefault="002047EF" w:rsidP="002047EF">
      <w:pPr>
        <w:autoSpaceDE w:val="0"/>
        <w:autoSpaceDN w:val="0"/>
        <w:adjustRightInd w:val="0"/>
        <w:spacing w:line="276" w:lineRule="auto"/>
        <w:jc w:val="both"/>
        <w:rPr>
          <w:rFonts w:ascii="Arial" w:eastAsiaTheme="minorHAnsi" w:hAnsi="Arial" w:cs="Arial"/>
          <w:color w:val="000000"/>
          <w:lang w:val="es-CO"/>
        </w:rPr>
      </w:pPr>
    </w:p>
    <w:p w:rsidR="002047EF" w:rsidRDefault="002047EF" w:rsidP="002047EF">
      <w:pPr>
        <w:autoSpaceDE w:val="0"/>
        <w:autoSpaceDN w:val="0"/>
        <w:adjustRightInd w:val="0"/>
        <w:spacing w:line="276" w:lineRule="auto"/>
        <w:jc w:val="both"/>
        <w:rPr>
          <w:rFonts w:ascii="Arial" w:eastAsiaTheme="minorHAnsi" w:hAnsi="Arial" w:cs="Arial"/>
          <w:color w:val="000000"/>
          <w:lang w:val="es-CO"/>
        </w:rPr>
      </w:pPr>
      <w:r w:rsidRPr="00EC18C0">
        <w:rPr>
          <w:rFonts w:ascii="Arial" w:eastAsiaTheme="minorHAnsi" w:hAnsi="Arial" w:cs="Arial"/>
          <w:color w:val="000000"/>
          <w:lang w:val="es-CO"/>
        </w:rPr>
        <w:t xml:space="preserve">El departamento de Bolívar carece de un plan sectorial de empleo que apalanque las políticas de empleabilidad, emprendimiento y generación de ingresos, una red de </w:t>
      </w:r>
      <w:r w:rsidRPr="00EC18C0">
        <w:rPr>
          <w:rFonts w:ascii="Arial" w:eastAsiaTheme="minorHAnsi" w:hAnsi="Arial" w:cs="Arial"/>
          <w:color w:val="000000"/>
          <w:lang w:val="es-CO"/>
        </w:rPr>
        <w:lastRenderedPageBreak/>
        <w:t>instituciones público</w:t>
      </w:r>
      <w:r>
        <w:rPr>
          <w:rFonts w:ascii="Arial" w:eastAsiaTheme="minorHAnsi" w:hAnsi="Arial" w:cs="Arial"/>
          <w:color w:val="000000"/>
          <w:lang w:val="es-CO"/>
        </w:rPr>
        <w:t>-</w:t>
      </w:r>
      <w:r w:rsidRPr="00EC18C0">
        <w:rPr>
          <w:rFonts w:ascii="Arial" w:eastAsiaTheme="minorHAnsi" w:hAnsi="Arial" w:cs="Arial"/>
          <w:color w:val="000000"/>
          <w:lang w:val="es-CO"/>
        </w:rPr>
        <w:t>privada que promuevan una sostenida política del empleo. Dentro de los entes departamentales y municipales aún no se han definido responsabilidades y funciones para tratar el tema de empleo y no se cuenta con recursos financieros y humanos específicos para la promoción del empleo.</w:t>
      </w:r>
    </w:p>
    <w:p w:rsidR="002047EF" w:rsidRDefault="002047EF" w:rsidP="002047EF">
      <w:pPr>
        <w:autoSpaceDE w:val="0"/>
        <w:autoSpaceDN w:val="0"/>
        <w:adjustRightInd w:val="0"/>
        <w:spacing w:line="276" w:lineRule="auto"/>
        <w:jc w:val="both"/>
        <w:rPr>
          <w:rFonts w:ascii="Arial" w:eastAsiaTheme="minorHAnsi" w:hAnsi="Arial" w:cs="Arial"/>
          <w:color w:val="000000"/>
          <w:lang w:val="es-CO"/>
        </w:rPr>
      </w:pPr>
    </w:p>
    <w:p w:rsidR="002047EF" w:rsidRPr="00E154EB" w:rsidRDefault="002047EF" w:rsidP="002047EF">
      <w:pPr>
        <w:autoSpaceDE w:val="0"/>
        <w:autoSpaceDN w:val="0"/>
        <w:adjustRightInd w:val="0"/>
        <w:spacing w:line="276" w:lineRule="auto"/>
        <w:jc w:val="both"/>
        <w:rPr>
          <w:rFonts w:ascii="Arial-BoldMT" w:eastAsiaTheme="minorHAnsi" w:hAnsi="Arial-BoldMT" w:cs="Arial-BoldMT"/>
          <w:b/>
          <w:bCs/>
          <w:lang w:val="es-CO"/>
        </w:rPr>
      </w:pPr>
      <w:r w:rsidRPr="00E154EB">
        <w:rPr>
          <w:rFonts w:ascii="Arial" w:eastAsiaTheme="minorHAnsi" w:hAnsi="Arial" w:cs="Arial"/>
          <w:b/>
          <w:bCs/>
          <w:lang w:val="es-CO"/>
        </w:rPr>
        <w:t>La institucionalidad local o municipal</w:t>
      </w:r>
    </w:p>
    <w:p w:rsidR="002047EF" w:rsidRDefault="002047EF" w:rsidP="002047EF">
      <w:pPr>
        <w:autoSpaceDE w:val="0"/>
        <w:autoSpaceDN w:val="0"/>
        <w:adjustRightInd w:val="0"/>
        <w:rPr>
          <w:rFonts w:ascii="Arial-BoldMT" w:eastAsiaTheme="minorHAnsi" w:hAnsi="Arial-BoldMT" w:cs="Arial-BoldMT"/>
          <w:b/>
          <w:bCs/>
          <w:color w:val="F60026"/>
          <w:lang w:val="es-CO"/>
        </w:rPr>
      </w:pPr>
    </w:p>
    <w:p w:rsidR="002047EF" w:rsidRPr="00EC18C0" w:rsidRDefault="002047EF" w:rsidP="002047EF">
      <w:pPr>
        <w:autoSpaceDE w:val="0"/>
        <w:autoSpaceDN w:val="0"/>
        <w:adjustRightInd w:val="0"/>
        <w:spacing w:line="276" w:lineRule="auto"/>
        <w:jc w:val="both"/>
        <w:rPr>
          <w:rFonts w:ascii="Arial" w:eastAsiaTheme="minorHAnsi" w:hAnsi="Arial" w:cs="Arial"/>
          <w:lang w:val="es-CO"/>
        </w:rPr>
      </w:pPr>
      <w:r w:rsidRPr="00EC18C0">
        <w:rPr>
          <w:rFonts w:ascii="Arial" w:eastAsiaTheme="minorHAnsi" w:hAnsi="Arial" w:cs="Arial"/>
          <w:color w:val="000000"/>
          <w:lang w:val="es-CO"/>
        </w:rPr>
        <w:t xml:space="preserve">Se hace referencia a la capacidad de la ciudad de Cartagena para adelantar programas y acciones orientadas al fomento y promoción del empleo, el emprendimiento y la generación de ingresos. La </w:t>
      </w:r>
      <w:r w:rsidRPr="00EC18C0">
        <w:rPr>
          <w:rFonts w:ascii="Arial" w:eastAsiaTheme="minorHAnsi" w:hAnsi="Arial" w:cs="Arial"/>
          <w:lang w:val="es-CO"/>
        </w:rPr>
        <w:t>Alcaldía de Cartagena viene apoyándose en la Unidad de Desarrollo Económico, oficina adscrita a la Secretaría de Hacienda; el Observatorio del Mercado Laboral de Cartagena (Ormet), el Centro de emprendimiento Pedro Romero – Cemprende, el Plan Estratégico de Superación de Pobreza para la Prosperidad Social –PES y la Red de Inclusión productiva, en la construcción de escenarios, acuerdos e iniciativas que permitan ampliar el acceso a oportunidades de generación de ingresos y trabajo a la población en situación de pobreza y vulnerabilidad.</w:t>
      </w:r>
    </w:p>
    <w:p w:rsidR="002047EF" w:rsidRPr="00EC18C0"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r w:rsidRPr="00EC18C0">
        <w:rPr>
          <w:rFonts w:ascii="Arial" w:eastAsiaTheme="minorHAnsi" w:hAnsi="Arial" w:cs="Arial"/>
          <w:lang w:val="es-CO"/>
        </w:rPr>
        <w:t>Sin embargo, al igual que la Gobernación de Bolívar no cuenta con un plan sectorial o intersectorial de empleo ni con una oficina responsable de la implementación de acciones dirigidas a la promoción del empleo.</w:t>
      </w: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Pr="00E154EB" w:rsidRDefault="002047EF" w:rsidP="00DC6E74">
      <w:pPr>
        <w:pStyle w:val="Ttulo2"/>
        <w:numPr>
          <w:ilvl w:val="1"/>
          <w:numId w:val="28"/>
        </w:numPr>
        <w:spacing w:before="0" w:line="276" w:lineRule="auto"/>
        <w:rPr>
          <w:rFonts w:ascii="Arial" w:hAnsi="Arial" w:cs="Arial"/>
          <w:i/>
          <w:iCs/>
          <w:color w:val="C00000"/>
          <w:sz w:val="22"/>
          <w:szCs w:val="22"/>
        </w:rPr>
      </w:pPr>
      <w:bookmarkStart w:id="166" w:name="_Toc385001368"/>
      <w:bookmarkStart w:id="167" w:name="_Toc385418237"/>
      <w:bookmarkStart w:id="168" w:name="_Toc386007258"/>
      <w:bookmarkStart w:id="169" w:name="_Toc389666635"/>
      <w:r w:rsidRPr="00E154EB">
        <w:rPr>
          <w:rFonts w:ascii="Arial" w:hAnsi="Arial" w:cs="Arial"/>
          <w:color w:val="C00000"/>
          <w:sz w:val="22"/>
          <w:szCs w:val="22"/>
        </w:rPr>
        <w:t>Programas y proyectos en curso para promover el empleo</w:t>
      </w:r>
      <w:bookmarkEnd w:id="166"/>
      <w:bookmarkEnd w:id="167"/>
      <w:bookmarkEnd w:id="168"/>
      <w:bookmarkEnd w:id="169"/>
    </w:p>
    <w:p w:rsidR="002047EF" w:rsidRDefault="002047EF" w:rsidP="002047EF">
      <w:pPr>
        <w:autoSpaceDE w:val="0"/>
        <w:autoSpaceDN w:val="0"/>
        <w:adjustRightInd w:val="0"/>
        <w:spacing w:line="276" w:lineRule="auto"/>
        <w:jc w:val="both"/>
        <w:rPr>
          <w:rFonts w:ascii="Arial" w:hAnsi="Arial" w:cs="Arial"/>
        </w:rPr>
      </w:pPr>
    </w:p>
    <w:p w:rsidR="002047EF" w:rsidRDefault="002047EF" w:rsidP="00601EF8">
      <w:pPr>
        <w:spacing w:line="276" w:lineRule="auto"/>
        <w:jc w:val="both"/>
      </w:pPr>
      <w:r>
        <w:rPr>
          <w:rFonts w:ascii="Arial" w:hAnsi="Arial" w:cs="Arial"/>
        </w:rPr>
        <w:t>Este apartado describe de forma breve los programas y proyectos que adelantan actualmente el Ministerio de trabajo y demás instituciones vinculadas al desarrollo económico, competitividad, promoción, empleo, emprendimiento y generación de ingresos en el departamento de Bolívar.</w:t>
      </w:r>
    </w:p>
    <w:p w:rsidR="002047EF" w:rsidRDefault="002047EF" w:rsidP="002047EF">
      <w:pPr>
        <w:autoSpaceDE w:val="0"/>
        <w:autoSpaceDN w:val="0"/>
        <w:adjustRightInd w:val="0"/>
        <w:spacing w:line="276" w:lineRule="auto"/>
        <w:jc w:val="both"/>
        <w:rPr>
          <w:rFonts w:ascii="Arial" w:hAnsi="Arial" w:cs="Arial"/>
        </w:rPr>
      </w:pPr>
    </w:p>
    <w:p w:rsidR="002047EF" w:rsidRPr="00E154EB" w:rsidRDefault="002047EF" w:rsidP="002047EF">
      <w:pPr>
        <w:pStyle w:val="Ttulo3"/>
        <w:rPr>
          <w:rFonts w:ascii="Arial" w:hAnsi="Arial" w:cs="Arial"/>
          <w:color w:val="C00000"/>
        </w:rPr>
      </w:pPr>
      <w:bookmarkStart w:id="170" w:name="_Toc384798243"/>
      <w:bookmarkStart w:id="171" w:name="_Toc385001369"/>
      <w:bookmarkStart w:id="172" w:name="_Toc385418238"/>
      <w:bookmarkStart w:id="173" w:name="_Toc386007259"/>
      <w:bookmarkStart w:id="174" w:name="_Toc389666636"/>
      <w:r w:rsidRPr="00E154EB">
        <w:rPr>
          <w:rFonts w:ascii="Arial" w:hAnsi="Arial" w:cs="Arial"/>
          <w:color w:val="C00000"/>
        </w:rPr>
        <w:t>5.2.1  Programas del Ministerio del Trabajo</w:t>
      </w:r>
      <w:bookmarkEnd w:id="170"/>
      <w:bookmarkEnd w:id="171"/>
      <w:bookmarkEnd w:id="172"/>
      <w:bookmarkEnd w:id="173"/>
      <w:bookmarkEnd w:id="174"/>
    </w:p>
    <w:p w:rsidR="002047EF" w:rsidRDefault="002047EF" w:rsidP="002047EF"/>
    <w:p w:rsidR="002047EF" w:rsidRPr="00EC18C0" w:rsidRDefault="002047EF" w:rsidP="002047EF">
      <w:pPr>
        <w:spacing w:line="276" w:lineRule="auto"/>
        <w:jc w:val="both"/>
        <w:rPr>
          <w:rFonts w:ascii="Arial" w:hAnsi="Arial" w:cs="Arial"/>
        </w:rPr>
      </w:pPr>
      <w:r w:rsidRPr="00EC18C0">
        <w:rPr>
          <w:rFonts w:ascii="Arial" w:hAnsi="Arial" w:cs="Arial"/>
        </w:rPr>
        <w:t>Con relación a los programas y proyectos del nivel nacional, se hace clave destacar las acciones que adelanta el Ministerio del Trabajo, en el marco de la política de empleo, que tiene como objeto “promover el diseño y aplicación de estrategias, programas y proyectos para prevenir, mitigar y superar los riesgos asociados con el desempleo y la falta de ingresos de la población colombiana</w:t>
      </w:r>
      <w:r w:rsidRPr="00EF14AA">
        <w:rPr>
          <w:rFonts w:ascii="Arial" w:hAnsi="Arial" w:cs="Arial"/>
        </w:rPr>
        <w:t>” (Ministerio del Trabajo, 2010)</w:t>
      </w:r>
    </w:p>
    <w:p w:rsidR="002047EF" w:rsidRPr="00EC18C0"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r w:rsidRPr="00EC18C0">
        <w:rPr>
          <w:rFonts w:ascii="Arial" w:hAnsi="Arial" w:cs="Arial"/>
        </w:rPr>
        <w:t xml:space="preserve">Es así como el Ministerio ha desarrollado un portafolio a nivel nacional para fortalecer la gestión y los alcances de dicha política, ofreciendo programas integrales generadores de oportunidades y fortaleciendo mecanismos que promuevan las necesidades de la población. </w:t>
      </w:r>
    </w:p>
    <w:p w:rsidR="002047EF" w:rsidRPr="00EC18C0" w:rsidRDefault="002047EF" w:rsidP="002047EF">
      <w:pPr>
        <w:spacing w:line="276" w:lineRule="auto"/>
        <w:jc w:val="both"/>
        <w:rPr>
          <w:rFonts w:ascii="Arial" w:hAnsi="Arial" w:cs="Arial"/>
        </w:rPr>
      </w:pPr>
    </w:p>
    <w:p w:rsidR="002047EF" w:rsidRPr="00EC18C0" w:rsidRDefault="002047EF" w:rsidP="002047EF">
      <w:pPr>
        <w:spacing w:line="276" w:lineRule="auto"/>
        <w:jc w:val="both"/>
        <w:rPr>
          <w:rFonts w:ascii="Arial" w:hAnsi="Arial" w:cs="Arial"/>
        </w:rPr>
      </w:pPr>
      <w:r w:rsidRPr="00EC18C0">
        <w:rPr>
          <w:rFonts w:ascii="Arial" w:hAnsi="Arial" w:cs="Arial"/>
        </w:rPr>
        <w:t>A continuación se describen brevemente cuatro de estos programas.</w:t>
      </w:r>
    </w:p>
    <w:p w:rsidR="002047EF" w:rsidRDefault="002047EF" w:rsidP="002047EF">
      <w:pPr>
        <w:spacing w:line="276" w:lineRule="auto"/>
        <w:jc w:val="both"/>
        <w:rPr>
          <w:rFonts w:ascii="Arial" w:hAnsi="Arial" w:cs="Arial"/>
        </w:rPr>
      </w:pPr>
    </w:p>
    <w:p w:rsidR="0065647E" w:rsidRDefault="0065647E" w:rsidP="002047EF">
      <w:pPr>
        <w:spacing w:line="276" w:lineRule="auto"/>
        <w:jc w:val="both"/>
        <w:rPr>
          <w:rFonts w:ascii="Arial" w:hAnsi="Arial" w:cs="Arial"/>
        </w:rPr>
      </w:pPr>
    </w:p>
    <w:p w:rsidR="0065647E" w:rsidRDefault="0065647E" w:rsidP="002047EF">
      <w:pPr>
        <w:spacing w:line="276" w:lineRule="auto"/>
        <w:jc w:val="both"/>
        <w:rPr>
          <w:rFonts w:ascii="Arial" w:hAnsi="Arial" w:cs="Arial"/>
        </w:rPr>
      </w:pPr>
    </w:p>
    <w:p w:rsidR="0065647E" w:rsidRPr="00EC18C0" w:rsidRDefault="0065647E" w:rsidP="002047EF">
      <w:pPr>
        <w:spacing w:line="276" w:lineRule="auto"/>
        <w:jc w:val="both"/>
        <w:rPr>
          <w:rFonts w:ascii="Arial" w:hAnsi="Arial" w:cs="Arial"/>
        </w:rPr>
      </w:pPr>
    </w:p>
    <w:p w:rsidR="002047EF" w:rsidRPr="00EC18C0" w:rsidRDefault="002047EF" w:rsidP="00DC6E74">
      <w:pPr>
        <w:pStyle w:val="Prrafodelista"/>
        <w:numPr>
          <w:ilvl w:val="0"/>
          <w:numId w:val="8"/>
        </w:numPr>
        <w:spacing w:after="200" w:line="276" w:lineRule="auto"/>
        <w:jc w:val="both"/>
        <w:rPr>
          <w:rFonts w:ascii="Arial" w:hAnsi="Arial" w:cs="Arial"/>
          <w:b/>
        </w:rPr>
      </w:pPr>
      <w:r w:rsidRPr="00EC18C0">
        <w:rPr>
          <w:rFonts w:ascii="Arial" w:hAnsi="Arial" w:cs="Arial"/>
          <w:b/>
        </w:rPr>
        <w:t>Servicio Público de Empleo</w:t>
      </w:r>
    </w:p>
    <w:p w:rsidR="002047EF" w:rsidRPr="00EC18C0" w:rsidRDefault="002047EF" w:rsidP="002047EF">
      <w:pPr>
        <w:pStyle w:val="ecxmsonormal"/>
        <w:shd w:val="clear" w:color="auto" w:fill="FFFFFF"/>
        <w:spacing w:before="0" w:beforeAutospacing="0" w:after="0" w:afterAutospacing="0" w:line="276" w:lineRule="auto"/>
        <w:jc w:val="both"/>
        <w:rPr>
          <w:rFonts w:ascii="Arial" w:eastAsia="Calibri" w:hAnsi="Arial" w:cs="Arial"/>
          <w:sz w:val="22"/>
          <w:szCs w:val="22"/>
          <w:lang w:eastAsia="en-US"/>
        </w:rPr>
      </w:pPr>
      <w:r w:rsidRPr="00EC18C0">
        <w:rPr>
          <w:rFonts w:ascii="Arial" w:eastAsia="Calibri" w:hAnsi="Arial" w:cs="Arial"/>
          <w:sz w:val="22"/>
          <w:szCs w:val="22"/>
          <w:lang w:eastAsia="en-US"/>
        </w:rPr>
        <w:t>Este programa busca integrar, coordinar y focalizar las políticas activas y pasivas de empleo, así como potenciar el uso de los instrumentos de política para que contribuyan a un encuentro más racional y eficiente entre oferta y demanda de trabajo. En este sentido, el Servicio Público de empleo es creado para ayudar a los trabajadores a encontrar un empleo conveniente y a empleadores a contratar trabajadores apropiados bajo los principios de eficiencia, universalidad, igualdad, libre escogencia, integralidad, confiabilidad, transparencia y calidad.</w:t>
      </w:r>
    </w:p>
    <w:p w:rsidR="002047EF" w:rsidRPr="00EC18C0" w:rsidRDefault="002047EF" w:rsidP="002047EF">
      <w:pPr>
        <w:pStyle w:val="ecxmsonormal"/>
        <w:shd w:val="clear" w:color="auto" w:fill="FFFFFF"/>
        <w:spacing w:before="0" w:beforeAutospacing="0" w:after="0" w:afterAutospacing="0" w:line="276" w:lineRule="auto"/>
        <w:jc w:val="both"/>
        <w:rPr>
          <w:rFonts w:ascii="Arial" w:eastAsia="Calibri" w:hAnsi="Arial" w:cs="Arial"/>
          <w:sz w:val="22"/>
          <w:szCs w:val="22"/>
          <w:lang w:eastAsia="en-US"/>
        </w:rPr>
      </w:pPr>
    </w:p>
    <w:p w:rsidR="002047EF" w:rsidRPr="00EC18C0" w:rsidRDefault="002047EF" w:rsidP="002047EF">
      <w:pPr>
        <w:pStyle w:val="ecxmsonormal"/>
        <w:shd w:val="clear" w:color="auto" w:fill="FFFFFF"/>
        <w:spacing w:before="0" w:beforeAutospacing="0" w:after="0" w:afterAutospacing="0" w:line="276" w:lineRule="auto"/>
        <w:jc w:val="both"/>
        <w:rPr>
          <w:rFonts w:ascii="Arial" w:eastAsia="Calibri" w:hAnsi="Arial" w:cs="Arial"/>
          <w:sz w:val="22"/>
          <w:szCs w:val="22"/>
          <w:lang w:eastAsia="en-US"/>
        </w:rPr>
      </w:pPr>
      <w:r w:rsidRPr="00EC18C0">
        <w:rPr>
          <w:rFonts w:ascii="Arial" w:eastAsia="Calibri" w:hAnsi="Arial" w:cs="Arial"/>
          <w:sz w:val="22"/>
          <w:szCs w:val="22"/>
          <w:lang w:eastAsia="en-US"/>
        </w:rPr>
        <w:t>El Servicio de Empleo cuenta con una plataforma que se construye a través de la integración de operadores públicos y privados, para lograr el encuentro entre la oferta y la demanda laboral de manera transparente, ágil y eficiente, permitiendo agrupar la información relativa al funcionamiento del mercado de trabajo en temas como Red de servicios de empleo (normatividad, prestadores autorizados e indicadores de gestión de los centros), formación (profesional  y para el trabajo)</w:t>
      </w:r>
      <w:r>
        <w:rPr>
          <w:rFonts w:ascii="Arial" w:eastAsia="Calibri" w:hAnsi="Arial" w:cs="Arial"/>
          <w:sz w:val="22"/>
          <w:szCs w:val="22"/>
          <w:lang w:eastAsia="en-US"/>
        </w:rPr>
        <w:t>,</w:t>
      </w:r>
      <w:r w:rsidRPr="00EC18C0">
        <w:rPr>
          <w:rFonts w:ascii="Arial" w:eastAsia="Calibri" w:hAnsi="Arial" w:cs="Arial"/>
          <w:sz w:val="22"/>
          <w:szCs w:val="22"/>
          <w:lang w:eastAsia="en-US"/>
        </w:rPr>
        <w:t xml:space="preserve">  empleo y emprendimiento (políticas activas y pasivas de empleo, certificación de competencias y emprendimiento).</w:t>
      </w:r>
    </w:p>
    <w:p w:rsidR="002047EF" w:rsidRPr="00EC18C0" w:rsidRDefault="002047EF" w:rsidP="002047EF">
      <w:pPr>
        <w:pStyle w:val="ecxmsonormal"/>
        <w:shd w:val="clear" w:color="auto" w:fill="FFFFFF"/>
        <w:spacing w:before="0" w:beforeAutospacing="0" w:after="0" w:afterAutospacing="0" w:line="276" w:lineRule="auto"/>
        <w:jc w:val="both"/>
        <w:rPr>
          <w:rFonts w:ascii="Arial" w:eastAsia="Calibri" w:hAnsi="Arial" w:cs="Arial"/>
          <w:sz w:val="22"/>
          <w:szCs w:val="22"/>
          <w:lang w:eastAsia="en-US"/>
        </w:rPr>
      </w:pPr>
    </w:p>
    <w:p w:rsidR="002047EF" w:rsidRPr="00EC18C0" w:rsidRDefault="002047EF" w:rsidP="00DC6E74">
      <w:pPr>
        <w:pStyle w:val="Prrafodelista"/>
        <w:numPr>
          <w:ilvl w:val="0"/>
          <w:numId w:val="8"/>
        </w:numPr>
        <w:spacing w:after="200" w:line="276" w:lineRule="auto"/>
        <w:jc w:val="both"/>
        <w:rPr>
          <w:rFonts w:ascii="Arial" w:hAnsi="Arial" w:cs="Arial"/>
          <w:b/>
        </w:rPr>
      </w:pPr>
      <w:r w:rsidRPr="00EC18C0">
        <w:rPr>
          <w:rFonts w:ascii="Arial" w:hAnsi="Arial" w:cs="Arial"/>
          <w:b/>
        </w:rPr>
        <w:t>Subsidio familiar</w:t>
      </w:r>
    </w:p>
    <w:p w:rsidR="002047EF" w:rsidRPr="00EC18C0" w:rsidRDefault="002047EF" w:rsidP="002047EF">
      <w:pPr>
        <w:spacing w:line="276" w:lineRule="auto"/>
        <w:jc w:val="both"/>
        <w:rPr>
          <w:rFonts w:ascii="Arial" w:hAnsi="Arial" w:cs="Arial"/>
          <w:color w:val="000000"/>
        </w:rPr>
      </w:pPr>
      <w:r w:rsidRPr="00EC18C0">
        <w:rPr>
          <w:rFonts w:ascii="Arial" w:hAnsi="Arial" w:cs="Arial"/>
          <w:color w:val="000000"/>
        </w:rPr>
        <w:t xml:space="preserve">Implementar la agenda de evaluación de los servicios asociados al sistema de Subsidio familiar, que permita mediante estudios técnicos la formulación de políticas, planes, programas y proyectos en materia de subsidio familiar.  </w:t>
      </w:r>
    </w:p>
    <w:p w:rsidR="002047EF" w:rsidRPr="00EC18C0" w:rsidRDefault="002047EF" w:rsidP="002047EF">
      <w:pPr>
        <w:spacing w:line="276" w:lineRule="auto"/>
        <w:jc w:val="both"/>
        <w:rPr>
          <w:rFonts w:ascii="Arial" w:hAnsi="Arial" w:cs="Arial"/>
          <w:color w:val="000000"/>
        </w:rPr>
      </w:pP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rPr>
      </w:pPr>
      <w:r w:rsidRPr="00EC18C0">
        <w:rPr>
          <w:rFonts w:ascii="Arial" w:hAnsi="Arial" w:cs="Arial"/>
          <w:color w:val="000000"/>
          <w:sz w:val="22"/>
          <w:szCs w:val="22"/>
          <w:u w:val="single"/>
        </w:rPr>
        <w:t>Actividades</w:t>
      </w:r>
      <w:r w:rsidRPr="00EC18C0">
        <w:rPr>
          <w:rFonts w:ascii="Arial" w:hAnsi="Arial" w:cs="Arial"/>
          <w:color w:val="000000"/>
          <w:sz w:val="22"/>
          <w:szCs w:val="22"/>
        </w:rPr>
        <w:t>:</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rPr>
      </w:pP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Evaluar la normatividad para los servicios ofrecidos para las Cajas de Compensación Familiar. </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Diseñar el sistema de información de subsidio familiar a nivel microdato y el proceso de implementación del mismo, de acuerdo con las necesidades del Ministerio del Trabajo.   </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Evaluar el impacto de los servicios ofrecidos por las Cajas de Compensación Familiar sobre población beneficiaria de los mismos. </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Realizar cruces de información del sistema de subsidio familiar con otros sistemas de información de la seguridad social.</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Diseñar y aplicar encuestas de percepción de los servicios ofrecidos por las Cajas de Compensación familiar</w:t>
      </w:r>
      <w:r>
        <w:rPr>
          <w:rFonts w:ascii="Arial" w:hAnsi="Arial" w:cs="Arial"/>
          <w:color w:val="000000"/>
        </w:rPr>
        <w:t>.</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Realizar asistencia técnica en cuanto al análisis de requerimientos del Ministerio del Trabajo a las Cajas de Compensación Familiar. </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Realizar campañas de promoción, divulgación y eventos del sistema de Subsidio Familiar.  </w:t>
      </w:r>
    </w:p>
    <w:p w:rsidR="002047EF" w:rsidRPr="00EC18C0" w:rsidRDefault="002047EF" w:rsidP="00DC6E74">
      <w:pPr>
        <w:pStyle w:val="Prrafodelista"/>
        <w:numPr>
          <w:ilvl w:val="0"/>
          <w:numId w:val="6"/>
        </w:numPr>
        <w:spacing w:line="276" w:lineRule="auto"/>
        <w:ind w:left="720"/>
        <w:jc w:val="both"/>
        <w:rPr>
          <w:rFonts w:ascii="Arial" w:hAnsi="Arial" w:cs="Arial"/>
          <w:color w:val="000000"/>
        </w:rPr>
      </w:pPr>
      <w:r w:rsidRPr="00EC18C0">
        <w:rPr>
          <w:rFonts w:ascii="Arial" w:hAnsi="Arial" w:cs="Arial"/>
          <w:color w:val="000000"/>
        </w:rPr>
        <w:t xml:space="preserve">Realizar estudios de los servicios ofrecidos por las Cajas de Compensación Familiar. </w:t>
      </w:r>
    </w:p>
    <w:p w:rsidR="002047EF" w:rsidRPr="00EC18C0" w:rsidRDefault="002047EF" w:rsidP="002047EF">
      <w:pPr>
        <w:pStyle w:val="Prrafodelista"/>
        <w:spacing w:line="276" w:lineRule="auto"/>
        <w:jc w:val="both"/>
        <w:rPr>
          <w:rFonts w:ascii="Arial" w:hAnsi="Arial" w:cs="Arial"/>
          <w:color w:val="000000"/>
        </w:rPr>
      </w:pPr>
    </w:p>
    <w:p w:rsidR="002047EF" w:rsidRPr="00EC18C0" w:rsidRDefault="002047EF" w:rsidP="00DC6E74">
      <w:pPr>
        <w:pStyle w:val="Prrafodelista"/>
        <w:numPr>
          <w:ilvl w:val="0"/>
          <w:numId w:val="8"/>
        </w:numPr>
        <w:spacing w:after="200" w:line="276" w:lineRule="auto"/>
        <w:jc w:val="both"/>
        <w:rPr>
          <w:rFonts w:ascii="Arial" w:hAnsi="Arial" w:cs="Arial"/>
          <w:b/>
        </w:rPr>
      </w:pPr>
      <w:r w:rsidRPr="00EC18C0">
        <w:rPr>
          <w:rFonts w:ascii="Arial" w:hAnsi="Arial" w:cs="Arial"/>
          <w:b/>
        </w:rPr>
        <w:t>Subdirección análisis, monitoreo y prospectiva laboral</w:t>
      </w:r>
    </w:p>
    <w:p w:rsidR="002047EF" w:rsidRDefault="002047EF" w:rsidP="002047EF">
      <w:pPr>
        <w:spacing w:line="276" w:lineRule="auto"/>
        <w:jc w:val="both"/>
        <w:rPr>
          <w:rFonts w:ascii="Arial" w:hAnsi="Arial" w:cs="Arial"/>
          <w:color w:val="000000"/>
        </w:rPr>
      </w:pPr>
      <w:r w:rsidRPr="00EC18C0">
        <w:rPr>
          <w:rFonts w:ascii="Arial" w:hAnsi="Arial" w:cs="Arial"/>
          <w:color w:val="000000"/>
        </w:rPr>
        <w:lastRenderedPageBreak/>
        <w:t>Fomentar, fortalecer y promover la Red de Observatorios del Mercado de Trabajo Regionales como instrumentos de generación de información estratégica para la toma de decisiones en aspectos relacionados con el mercado laboral.</w:t>
      </w:r>
    </w:p>
    <w:p w:rsidR="003B3201" w:rsidRPr="00EC18C0" w:rsidRDefault="003B3201" w:rsidP="002047EF">
      <w:pPr>
        <w:spacing w:line="276" w:lineRule="auto"/>
        <w:jc w:val="both"/>
        <w:rPr>
          <w:rFonts w:ascii="Arial" w:hAnsi="Arial" w:cs="Arial"/>
          <w:color w:val="000000"/>
        </w:rPr>
      </w:pP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rPr>
      </w:pPr>
      <w:r w:rsidRPr="00EC18C0">
        <w:rPr>
          <w:rFonts w:ascii="Arial" w:hAnsi="Arial" w:cs="Arial"/>
          <w:color w:val="000000"/>
          <w:sz w:val="22"/>
          <w:szCs w:val="22"/>
          <w:u w:val="single"/>
        </w:rPr>
        <w:t>Actividades</w:t>
      </w:r>
      <w:r w:rsidRPr="00EC18C0">
        <w:rPr>
          <w:rFonts w:ascii="Arial" w:hAnsi="Arial" w:cs="Arial"/>
          <w:color w:val="000000"/>
          <w:sz w:val="22"/>
          <w:szCs w:val="22"/>
        </w:rPr>
        <w:t>:</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rPr>
      </w:pP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Acompañar el proceso de creación con la identificación de los aliados estratégicos y la fijación de compromisos por parte de estos.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Consolidar y promover nuevos observatorios del Mercado de Trabajo.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Fortalecer los Observatorios del Mercado de Trabajo.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Prestar </w:t>
      </w:r>
      <w:r>
        <w:rPr>
          <w:rFonts w:ascii="Arial" w:hAnsi="Arial" w:cs="Arial"/>
          <w:color w:val="000000"/>
        </w:rPr>
        <w:t>a</w:t>
      </w:r>
      <w:r w:rsidRPr="00EC18C0">
        <w:rPr>
          <w:rFonts w:ascii="Arial" w:hAnsi="Arial" w:cs="Arial"/>
          <w:color w:val="000000"/>
        </w:rPr>
        <w:t xml:space="preserve">sistencia </w:t>
      </w:r>
      <w:r>
        <w:rPr>
          <w:rFonts w:ascii="Arial" w:hAnsi="Arial" w:cs="Arial"/>
          <w:color w:val="000000"/>
        </w:rPr>
        <w:t>t</w:t>
      </w:r>
      <w:r w:rsidRPr="00EC18C0">
        <w:rPr>
          <w:rFonts w:ascii="Arial" w:hAnsi="Arial" w:cs="Arial"/>
          <w:color w:val="000000"/>
        </w:rPr>
        <w:t xml:space="preserve">écnica para la elaboración de estudios y/o investigaciones en temas específicos de mercado de trabajo.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Brindar capacitaciones a la medida para cada uno de los Observatorios.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Transferir metodologías especializadas, con el fin de fortalecer el equipo técnico a nivel territorial de los observatorios.</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Realizar talleres de capacitación relacionados con estrategias gerenciales para fortalecer y dinamizar los procesos de gestión administrativa de los Observatorios. </w:t>
      </w:r>
    </w:p>
    <w:p w:rsidR="002047EF" w:rsidRPr="00EC18C0" w:rsidRDefault="002047EF" w:rsidP="00DC6E74">
      <w:pPr>
        <w:pStyle w:val="Prrafodelista"/>
        <w:numPr>
          <w:ilvl w:val="0"/>
          <w:numId w:val="7"/>
        </w:numPr>
        <w:spacing w:line="276" w:lineRule="auto"/>
        <w:ind w:left="360"/>
        <w:jc w:val="both"/>
        <w:rPr>
          <w:rFonts w:ascii="Arial" w:hAnsi="Arial" w:cs="Arial"/>
          <w:color w:val="000000"/>
        </w:rPr>
      </w:pPr>
      <w:r w:rsidRPr="00EC18C0">
        <w:rPr>
          <w:rFonts w:ascii="Arial" w:hAnsi="Arial" w:cs="Arial"/>
          <w:color w:val="000000"/>
        </w:rPr>
        <w:t xml:space="preserve">Facilitar la transferencia de metodologías entre los observatorios de acuerdo con temas priorizados.      </w:t>
      </w:r>
    </w:p>
    <w:p w:rsidR="002047EF" w:rsidRPr="00EC18C0" w:rsidRDefault="002047EF" w:rsidP="00DC6E74">
      <w:pPr>
        <w:pStyle w:val="Prrafodelista"/>
        <w:numPr>
          <w:ilvl w:val="0"/>
          <w:numId w:val="7"/>
        </w:numPr>
        <w:spacing w:line="276" w:lineRule="auto"/>
        <w:ind w:left="360"/>
        <w:jc w:val="both"/>
        <w:rPr>
          <w:rFonts w:ascii="Arial" w:eastAsia="MS Mincho" w:hAnsi="Arial" w:cs="Arial"/>
          <w:color w:val="000000"/>
        </w:rPr>
      </w:pPr>
      <w:r w:rsidRPr="00EC18C0">
        <w:rPr>
          <w:rFonts w:ascii="Arial" w:hAnsi="Arial" w:cs="Arial"/>
          <w:color w:val="000000"/>
        </w:rPr>
        <w:t>Analizar la información de oferta y demanda laboral con enfoque en prospectiva, en torno a la realidad local para apoyar las actividades del Servicio Público de Empleo.</w:t>
      </w:r>
    </w:p>
    <w:p w:rsidR="002047EF" w:rsidRPr="00EC18C0" w:rsidRDefault="002047EF" w:rsidP="002047EF">
      <w:pPr>
        <w:pStyle w:val="Prrafodelista"/>
        <w:spacing w:line="276" w:lineRule="auto"/>
        <w:ind w:left="360"/>
        <w:jc w:val="both"/>
        <w:rPr>
          <w:rFonts w:ascii="Arial" w:eastAsia="MS Mincho" w:hAnsi="Arial" w:cs="Arial"/>
          <w:color w:val="000000"/>
        </w:rPr>
      </w:pPr>
    </w:p>
    <w:p w:rsidR="002047EF" w:rsidRPr="00EC18C0" w:rsidRDefault="002047EF" w:rsidP="00DC6E74">
      <w:pPr>
        <w:pStyle w:val="Prrafodelista"/>
        <w:numPr>
          <w:ilvl w:val="0"/>
          <w:numId w:val="8"/>
        </w:numPr>
        <w:spacing w:after="200" w:line="276" w:lineRule="auto"/>
        <w:jc w:val="both"/>
        <w:rPr>
          <w:rFonts w:ascii="Arial" w:hAnsi="Arial" w:cs="Arial"/>
          <w:b/>
        </w:rPr>
      </w:pPr>
      <w:r w:rsidRPr="00EC18C0">
        <w:rPr>
          <w:rFonts w:ascii="Arial" w:hAnsi="Arial" w:cs="Arial"/>
          <w:b/>
        </w:rPr>
        <w:t>Formalización y protección del empleo</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 xml:space="preserve">Este programa pretende la generación de políticas, programas y proyectos encaminados a brindar protección integral para prevenir, reducir y superar los riesgos asociados al desempleo. Así mismo, motivar el trabajo productivo asociativo y de otras modalidades de empleo diferentes al trabajo dependiente. </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Busca igualmente promover y fortalecer el incremento de la productividad del trabajo no asalariado; la implementación de sistemas, mecanismos, modelos y procedimientos a nivel nacional para la formalización del empleo adaptados a las micro, pequeñas, medianas y grandes empresas, las organizaciones de la economía social y solidaria, los trabajadores independientes y el autoempleo; y concertar, formular y proponer la regulación para las pre</w:t>
      </w:r>
      <w:r>
        <w:rPr>
          <w:rFonts w:ascii="Arial" w:hAnsi="Arial" w:cs="Arial"/>
          <w:color w:val="000000"/>
          <w:sz w:val="22"/>
          <w:szCs w:val="22"/>
          <w:lang w:val="es-CO"/>
        </w:rPr>
        <w:t>-</w:t>
      </w:r>
      <w:r w:rsidRPr="00EC18C0">
        <w:rPr>
          <w:rFonts w:ascii="Arial" w:hAnsi="Arial" w:cs="Arial"/>
          <w:color w:val="000000"/>
          <w:sz w:val="22"/>
          <w:szCs w:val="22"/>
          <w:lang w:val="es-CO"/>
        </w:rPr>
        <w:t>cooperativas y cooperativas de trabajo asociado y el autoempleo, velando por el cumplimiento de los derechos fundamentales del trabajo. </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A continuación se presentan algunos proyectos establecidos para los sectores más críticos:</w:t>
      </w:r>
    </w:p>
    <w:p w:rsidR="002047EF" w:rsidRPr="00EC18C0" w:rsidRDefault="002047EF" w:rsidP="002047EF">
      <w:pPr>
        <w:pStyle w:val="ecxmsonormal"/>
        <w:shd w:val="clear" w:color="auto" w:fill="FFFFFF"/>
        <w:spacing w:before="0" w:beforeAutospacing="0" w:after="0" w:afterAutospacing="0" w:line="276" w:lineRule="auto"/>
        <w:jc w:val="both"/>
        <w:rPr>
          <w:rFonts w:ascii="Arial" w:hAnsi="Arial" w:cs="Arial"/>
          <w:color w:val="000000"/>
          <w:sz w:val="22"/>
          <w:szCs w:val="22"/>
          <w:lang w:val="es-CO"/>
        </w:rPr>
      </w:pPr>
    </w:p>
    <w:p w:rsidR="002047EF" w:rsidRPr="00EC18C0" w:rsidRDefault="002047EF" w:rsidP="00DC6E74">
      <w:pPr>
        <w:pStyle w:val="ecxmsonormal"/>
        <w:numPr>
          <w:ilvl w:val="0"/>
          <w:numId w:val="5"/>
        </w:numPr>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 xml:space="preserve">Programa de desarrollo de proveedores </w:t>
      </w:r>
      <w:r>
        <w:rPr>
          <w:rFonts w:ascii="Arial" w:hAnsi="Arial" w:cs="Arial"/>
          <w:color w:val="000000"/>
          <w:sz w:val="22"/>
          <w:szCs w:val="22"/>
          <w:lang w:val="es-CO"/>
        </w:rPr>
        <w:t>(</w:t>
      </w:r>
      <w:r w:rsidRPr="00EC18C0">
        <w:rPr>
          <w:rFonts w:ascii="Arial" w:hAnsi="Arial" w:cs="Arial"/>
          <w:color w:val="000000"/>
          <w:sz w:val="22"/>
          <w:szCs w:val="22"/>
          <w:lang w:val="es-CO"/>
        </w:rPr>
        <w:t>PDP</w:t>
      </w:r>
      <w:r>
        <w:rPr>
          <w:rFonts w:ascii="Arial" w:hAnsi="Arial" w:cs="Arial"/>
          <w:color w:val="000000"/>
          <w:sz w:val="22"/>
          <w:szCs w:val="22"/>
          <w:lang w:val="es-CO"/>
        </w:rPr>
        <w:t>)</w:t>
      </w:r>
      <w:r w:rsidRPr="00EC18C0">
        <w:rPr>
          <w:rFonts w:ascii="Arial" w:hAnsi="Arial" w:cs="Arial"/>
          <w:color w:val="000000"/>
          <w:sz w:val="22"/>
          <w:szCs w:val="22"/>
          <w:lang w:val="es-CO"/>
        </w:rPr>
        <w:t>:</w:t>
      </w:r>
      <w:r w:rsidRPr="00EC18C0">
        <w:rPr>
          <w:rFonts w:ascii="Arial" w:hAnsi="Arial" w:cs="Arial"/>
          <w:color w:val="000000"/>
          <w:sz w:val="22"/>
          <w:szCs w:val="22"/>
        </w:rPr>
        <w:t xml:space="preserve"> </w:t>
      </w:r>
      <w:r w:rsidRPr="00EC18C0">
        <w:rPr>
          <w:rFonts w:ascii="Arial" w:hAnsi="Arial" w:cs="Arial"/>
          <w:color w:val="000000"/>
          <w:sz w:val="22"/>
          <w:szCs w:val="22"/>
          <w:lang w:val="es-CO"/>
        </w:rPr>
        <w:t>busca mejorar la productividad y competitividad en cadenas productivas en donde coexisten grandes empresas con micro, pequeñas y medianas empresas en relaciones de proveeduría.</w:t>
      </w:r>
    </w:p>
    <w:p w:rsidR="002047EF" w:rsidRPr="00EC18C0" w:rsidRDefault="002047EF" w:rsidP="002047EF">
      <w:pPr>
        <w:pStyle w:val="ecxmsonormal"/>
        <w:shd w:val="clear" w:color="auto" w:fill="FFFFFF"/>
        <w:spacing w:before="0" w:beforeAutospacing="0" w:after="0" w:afterAutospacing="0" w:line="276" w:lineRule="auto"/>
        <w:ind w:left="720"/>
        <w:jc w:val="both"/>
        <w:rPr>
          <w:rFonts w:ascii="Arial" w:hAnsi="Arial" w:cs="Arial"/>
          <w:color w:val="000000"/>
          <w:sz w:val="22"/>
          <w:szCs w:val="22"/>
          <w:lang w:val="es-CO"/>
        </w:rPr>
      </w:pPr>
    </w:p>
    <w:p w:rsidR="002047EF" w:rsidRPr="00EC18C0" w:rsidRDefault="002047EF" w:rsidP="00DC6E74">
      <w:pPr>
        <w:pStyle w:val="ecxmsonormal"/>
        <w:numPr>
          <w:ilvl w:val="0"/>
          <w:numId w:val="5"/>
        </w:numPr>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Programa de formalización sectorial -promoción y asistencia técnica:</w:t>
      </w:r>
      <w:r w:rsidRPr="00EC18C0">
        <w:rPr>
          <w:rFonts w:ascii="Arial" w:hAnsi="Arial" w:cs="Arial"/>
          <w:color w:val="000000"/>
          <w:sz w:val="22"/>
          <w:szCs w:val="22"/>
        </w:rPr>
        <w:t xml:space="preserve"> </w:t>
      </w:r>
      <w:r w:rsidRPr="00EC18C0">
        <w:rPr>
          <w:rFonts w:ascii="Arial" w:hAnsi="Arial" w:cs="Arial"/>
          <w:color w:val="000000"/>
          <w:sz w:val="22"/>
          <w:szCs w:val="22"/>
          <w:lang w:val="es-CO"/>
        </w:rPr>
        <w:t xml:space="preserve">El principal objetivo de este programa es promover y brindar capacitación  y </w:t>
      </w:r>
      <w:r w:rsidRPr="00EC18C0">
        <w:rPr>
          <w:rFonts w:ascii="Arial" w:hAnsi="Arial" w:cs="Arial"/>
          <w:color w:val="000000"/>
          <w:sz w:val="22"/>
          <w:szCs w:val="22"/>
          <w:lang w:val="es-CO"/>
        </w:rPr>
        <w:lastRenderedPageBreak/>
        <w:t>asistencia técnica para la formalización laboral con enfoque sectorial, trabajando mancomunadamente con los gremios o asociaciones de diferentes sectores en el país. Esto con el fin de entender las realidades propias de los sectores y brindar una asistencia técnica a la medida. A partir de este programa también se busca construir propuestas para mejorar las condiciones laborales y poder implementar alternativas para que los trabajadores puedan tener protección y ahorros para su vejez.</w:t>
      </w:r>
    </w:p>
    <w:p w:rsidR="002047EF" w:rsidRPr="00EC18C0" w:rsidRDefault="002047EF" w:rsidP="002047EF">
      <w:pPr>
        <w:pStyle w:val="Prrafodelista"/>
        <w:spacing w:line="276" w:lineRule="auto"/>
        <w:jc w:val="both"/>
        <w:rPr>
          <w:rFonts w:ascii="Arial" w:hAnsi="Arial" w:cs="Arial"/>
          <w:color w:val="000000"/>
        </w:rPr>
      </w:pPr>
    </w:p>
    <w:p w:rsidR="002047EF" w:rsidRPr="00EC18C0" w:rsidRDefault="002047EF" w:rsidP="00DC6E74">
      <w:pPr>
        <w:pStyle w:val="ecxmsonormal"/>
        <w:numPr>
          <w:ilvl w:val="0"/>
          <w:numId w:val="5"/>
        </w:numPr>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Acompañamiento de otras iniciativas de formalización: Formalización y legalización Minera y Sector Transporte (busca mejorar las condiciones laborales de los actuales conductores del sistema de transporte público colectivo que harán el tránsito al nuevo Sistema Integrado).</w:t>
      </w:r>
    </w:p>
    <w:p w:rsidR="002047EF" w:rsidRPr="00EC18C0" w:rsidRDefault="002047EF" w:rsidP="002047EF">
      <w:pPr>
        <w:pStyle w:val="Prrafodelista"/>
        <w:spacing w:line="276" w:lineRule="auto"/>
        <w:jc w:val="both"/>
        <w:rPr>
          <w:rFonts w:ascii="Arial" w:hAnsi="Arial" w:cs="Arial"/>
          <w:color w:val="000000"/>
        </w:rPr>
      </w:pPr>
    </w:p>
    <w:p w:rsidR="002047EF" w:rsidRPr="00EC18C0" w:rsidRDefault="002047EF" w:rsidP="00DC6E74">
      <w:pPr>
        <w:pStyle w:val="ecxmsonormal"/>
        <w:numPr>
          <w:ilvl w:val="0"/>
          <w:numId w:val="5"/>
        </w:numPr>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 xml:space="preserve">Mecanismo de protección </w:t>
      </w:r>
      <w:proofErr w:type="gramStart"/>
      <w:r w:rsidRPr="00EC18C0">
        <w:rPr>
          <w:rFonts w:ascii="Arial" w:hAnsi="Arial" w:cs="Arial"/>
          <w:color w:val="000000"/>
          <w:sz w:val="22"/>
          <w:szCs w:val="22"/>
          <w:lang w:val="es-CO"/>
        </w:rPr>
        <w:t>al</w:t>
      </w:r>
      <w:proofErr w:type="gramEnd"/>
      <w:r w:rsidRPr="00EC18C0">
        <w:rPr>
          <w:rFonts w:ascii="Arial" w:hAnsi="Arial" w:cs="Arial"/>
          <w:color w:val="000000"/>
          <w:sz w:val="22"/>
          <w:szCs w:val="22"/>
          <w:lang w:val="es-CO"/>
        </w:rPr>
        <w:t xml:space="preserve"> cesante Ley 1636.</w:t>
      </w:r>
    </w:p>
    <w:p w:rsidR="002047EF" w:rsidRPr="00EC18C0" w:rsidRDefault="002047EF" w:rsidP="002047EF">
      <w:pPr>
        <w:pStyle w:val="ecxmsonormal"/>
        <w:shd w:val="clear" w:color="auto" w:fill="FFFFFF"/>
        <w:spacing w:before="0" w:beforeAutospacing="0" w:after="0" w:afterAutospacing="0" w:line="276" w:lineRule="auto"/>
        <w:ind w:left="720"/>
        <w:jc w:val="both"/>
        <w:rPr>
          <w:rFonts w:ascii="Arial" w:hAnsi="Arial" w:cs="Arial"/>
          <w:color w:val="000000"/>
          <w:sz w:val="22"/>
          <w:szCs w:val="22"/>
          <w:lang w:val="es-CO"/>
        </w:rPr>
      </w:pPr>
    </w:p>
    <w:p w:rsidR="002047EF" w:rsidRPr="00EC18C0" w:rsidRDefault="002047EF" w:rsidP="00DC6E74">
      <w:pPr>
        <w:pStyle w:val="ecxmsonormal"/>
        <w:numPr>
          <w:ilvl w:val="0"/>
          <w:numId w:val="5"/>
        </w:numPr>
        <w:shd w:val="clear" w:color="auto" w:fill="FFFFFF"/>
        <w:spacing w:before="0" w:beforeAutospacing="0" w:after="0" w:afterAutospacing="0" w:line="276" w:lineRule="auto"/>
        <w:jc w:val="both"/>
        <w:rPr>
          <w:rFonts w:ascii="Arial" w:hAnsi="Arial" w:cs="Arial"/>
          <w:color w:val="000000"/>
          <w:sz w:val="22"/>
          <w:szCs w:val="22"/>
          <w:lang w:val="es-CO"/>
        </w:rPr>
      </w:pPr>
      <w:r w:rsidRPr="00EC18C0">
        <w:rPr>
          <w:rFonts w:ascii="Arial" w:hAnsi="Arial" w:cs="Arial"/>
          <w:color w:val="000000"/>
          <w:sz w:val="22"/>
          <w:szCs w:val="22"/>
          <w:lang w:val="es-CO"/>
        </w:rPr>
        <w:t>Promoción y regulación de la economía social y solidaria.</w:t>
      </w:r>
    </w:p>
    <w:p w:rsidR="002047EF" w:rsidRDefault="002047EF" w:rsidP="002047EF">
      <w:pPr>
        <w:autoSpaceDE w:val="0"/>
        <w:autoSpaceDN w:val="0"/>
        <w:adjustRightInd w:val="0"/>
        <w:spacing w:line="276" w:lineRule="auto"/>
        <w:jc w:val="both"/>
        <w:rPr>
          <w:rFonts w:ascii="Arial" w:hAnsi="Arial" w:cs="Arial"/>
          <w:lang w:val="es-CO"/>
        </w:rPr>
      </w:pPr>
    </w:p>
    <w:p w:rsidR="002047EF" w:rsidRPr="00E154EB" w:rsidRDefault="00E154EB" w:rsidP="00601EF8">
      <w:pPr>
        <w:pStyle w:val="Ttulo3"/>
        <w:rPr>
          <w:rFonts w:ascii="Arial" w:hAnsi="Arial" w:cs="Arial"/>
          <w:color w:val="C00000"/>
        </w:rPr>
      </w:pPr>
      <w:bookmarkStart w:id="175" w:name="_Toc389666637"/>
      <w:r w:rsidRPr="00E154EB">
        <w:rPr>
          <w:rFonts w:ascii="Arial" w:hAnsi="Arial" w:cs="Arial"/>
          <w:color w:val="C00000"/>
        </w:rPr>
        <w:t>5.</w:t>
      </w:r>
      <w:r w:rsidR="00601EF8">
        <w:rPr>
          <w:rFonts w:ascii="Arial" w:hAnsi="Arial" w:cs="Arial"/>
          <w:color w:val="C00000"/>
        </w:rPr>
        <w:t>2.2</w:t>
      </w:r>
      <w:r w:rsidR="002047EF" w:rsidRPr="00E154EB">
        <w:rPr>
          <w:rFonts w:ascii="Arial" w:hAnsi="Arial" w:cs="Arial"/>
          <w:color w:val="C00000"/>
        </w:rPr>
        <w:t xml:space="preserve"> Otros programas y proyectos en curso para promover el empleo</w:t>
      </w:r>
      <w:bookmarkEnd w:id="175"/>
    </w:p>
    <w:p w:rsidR="002047EF" w:rsidRDefault="002047EF" w:rsidP="002047EF"/>
    <w:p w:rsidR="002047EF" w:rsidRDefault="002047EF" w:rsidP="00601EF8">
      <w:pPr>
        <w:spacing w:line="276" w:lineRule="auto"/>
        <w:jc w:val="both"/>
        <w:rPr>
          <w:rFonts w:ascii="Arial" w:hAnsi="Arial" w:cs="Arial"/>
        </w:rPr>
      </w:pPr>
      <w:r w:rsidRPr="007C1429">
        <w:rPr>
          <w:rFonts w:ascii="Arial" w:hAnsi="Arial" w:cs="Arial"/>
        </w:rPr>
        <w:t xml:space="preserve">El departamento de </w:t>
      </w:r>
      <w:r w:rsidR="001B0468">
        <w:rPr>
          <w:rFonts w:ascii="Arial" w:hAnsi="Arial" w:cs="Arial"/>
        </w:rPr>
        <w:t>Bolívar</w:t>
      </w:r>
      <w:r w:rsidRPr="007C1429">
        <w:rPr>
          <w:rFonts w:ascii="Arial" w:hAnsi="Arial" w:cs="Arial"/>
        </w:rPr>
        <w:t xml:space="preserve"> cuenta </w:t>
      </w:r>
      <w:r>
        <w:rPr>
          <w:rFonts w:ascii="Arial" w:hAnsi="Arial" w:cs="Arial"/>
        </w:rPr>
        <w:t>c</w:t>
      </w:r>
      <w:r w:rsidRPr="00B64D73">
        <w:rPr>
          <w:rFonts w:ascii="Arial" w:hAnsi="Arial" w:cs="Arial"/>
        </w:rPr>
        <w:t xml:space="preserve">on </w:t>
      </w:r>
      <w:r>
        <w:rPr>
          <w:rFonts w:ascii="Arial" w:hAnsi="Arial" w:cs="Arial"/>
        </w:rPr>
        <w:t xml:space="preserve">la participación de diversos </w:t>
      </w:r>
      <w:r w:rsidRPr="00B64D73">
        <w:rPr>
          <w:rFonts w:ascii="Arial" w:hAnsi="Arial" w:cs="Arial"/>
        </w:rPr>
        <w:t>programas y proyectos en cuanto a generación de empleo</w:t>
      </w:r>
      <w:r>
        <w:rPr>
          <w:rFonts w:ascii="Arial" w:hAnsi="Arial" w:cs="Arial"/>
        </w:rPr>
        <w:t>,</w:t>
      </w:r>
      <w:r w:rsidRPr="00B64D73">
        <w:rPr>
          <w:rFonts w:ascii="Arial" w:hAnsi="Arial" w:cs="Arial"/>
        </w:rPr>
        <w:t xml:space="preserve"> llevados a cabo a nivel nacional,</w:t>
      </w:r>
      <w:r>
        <w:rPr>
          <w:rFonts w:ascii="Arial" w:hAnsi="Arial" w:cs="Arial"/>
        </w:rPr>
        <w:t xml:space="preserve"> departamental y municipal. En </w:t>
      </w:r>
      <w:r w:rsidRPr="00056952">
        <w:rPr>
          <w:rFonts w:ascii="Arial" w:hAnsi="Arial" w:cs="Arial"/>
        </w:rPr>
        <w:t xml:space="preserve">la tabla </w:t>
      </w:r>
      <w:r w:rsidR="00056952" w:rsidRPr="00056952">
        <w:rPr>
          <w:rFonts w:ascii="Arial" w:hAnsi="Arial" w:cs="Arial"/>
        </w:rPr>
        <w:t>14</w:t>
      </w:r>
      <w:r w:rsidRPr="00056952">
        <w:rPr>
          <w:rFonts w:ascii="Arial" w:hAnsi="Arial" w:cs="Arial"/>
        </w:rPr>
        <w:t xml:space="preserve"> se</w:t>
      </w:r>
      <w:r>
        <w:rPr>
          <w:rFonts w:ascii="Arial" w:hAnsi="Arial" w:cs="Arial"/>
        </w:rPr>
        <w:t xml:space="preserve"> describen los más representativos para el departamento. </w:t>
      </w:r>
    </w:p>
    <w:p w:rsidR="002047EF" w:rsidRPr="00E154EB" w:rsidRDefault="002047EF" w:rsidP="00E154EB">
      <w:pPr>
        <w:jc w:val="center"/>
        <w:rPr>
          <w:rFonts w:ascii="Arial" w:hAnsi="Arial" w:cs="Arial"/>
        </w:rPr>
      </w:pPr>
    </w:p>
    <w:p w:rsidR="002047EF" w:rsidRPr="00E154EB" w:rsidRDefault="00E154EB" w:rsidP="00E154EB">
      <w:pPr>
        <w:pStyle w:val="Epgrafe"/>
        <w:jc w:val="center"/>
        <w:rPr>
          <w:rFonts w:ascii="Arial" w:hAnsi="Arial" w:cs="Arial"/>
          <w:color w:val="auto"/>
          <w:sz w:val="22"/>
          <w:szCs w:val="22"/>
        </w:rPr>
      </w:pPr>
      <w:bookmarkStart w:id="176" w:name="_Toc389667027"/>
      <w:r w:rsidRPr="00E154EB">
        <w:rPr>
          <w:rFonts w:ascii="Arial" w:hAnsi="Arial" w:cs="Arial"/>
          <w:color w:val="auto"/>
          <w:sz w:val="22"/>
          <w:szCs w:val="22"/>
        </w:rPr>
        <w:t xml:space="preserve">Tabla </w:t>
      </w:r>
      <w:r w:rsidRPr="00E154EB">
        <w:rPr>
          <w:rFonts w:ascii="Arial" w:hAnsi="Arial" w:cs="Arial"/>
          <w:color w:val="auto"/>
          <w:sz w:val="22"/>
          <w:szCs w:val="22"/>
        </w:rPr>
        <w:fldChar w:fldCharType="begin"/>
      </w:r>
      <w:r w:rsidRPr="00E154EB">
        <w:rPr>
          <w:rFonts w:ascii="Arial" w:hAnsi="Arial" w:cs="Arial"/>
          <w:color w:val="auto"/>
          <w:sz w:val="22"/>
          <w:szCs w:val="22"/>
        </w:rPr>
        <w:instrText xml:space="preserve"> SEQ Tabla \* ARABIC </w:instrText>
      </w:r>
      <w:r w:rsidRPr="00E154EB">
        <w:rPr>
          <w:rFonts w:ascii="Arial" w:hAnsi="Arial" w:cs="Arial"/>
          <w:color w:val="auto"/>
          <w:sz w:val="22"/>
          <w:szCs w:val="22"/>
        </w:rPr>
        <w:fldChar w:fldCharType="separate"/>
      </w:r>
      <w:r w:rsidR="00D9744C">
        <w:rPr>
          <w:rFonts w:ascii="Arial" w:hAnsi="Arial" w:cs="Arial"/>
          <w:noProof/>
          <w:color w:val="auto"/>
          <w:sz w:val="22"/>
          <w:szCs w:val="22"/>
        </w:rPr>
        <w:t>14</w:t>
      </w:r>
      <w:r w:rsidRPr="00E154EB">
        <w:rPr>
          <w:rFonts w:ascii="Arial" w:hAnsi="Arial" w:cs="Arial"/>
          <w:color w:val="auto"/>
          <w:sz w:val="22"/>
          <w:szCs w:val="22"/>
        </w:rPr>
        <w:fldChar w:fldCharType="end"/>
      </w:r>
      <w:r w:rsidRPr="00E154EB">
        <w:rPr>
          <w:rFonts w:ascii="Arial" w:hAnsi="Arial" w:cs="Arial"/>
          <w:color w:val="auto"/>
          <w:sz w:val="22"/>
          <w:szCs w:val="22"/>
        </w:rPr>
        <w:t>.</w:t>
      </w:r>
      <w:r w:rsidR="002047EF" w:rsidRPr="00E154EB">
        <w:rPr>
          <w:rFonts w:ascii="Arial" w:hAnsi="Arial" w:cs="Arial"/>
          <w:color w:val="auto"/>
          <w:sz w:val="22"/>
          <w:szCs w:val="22"/>
        </w:rPr>
        <w:t xml:space="preserve"> Oferta institucional en el territorio</w:t>
      </w:r>
      <w:bookmarkEnd w:id="176"/>
    </w:p>
    <w:p w:rsidR="002047EF" w:rsidRDefault="002047EF" w:rsidP="002047EF">
      <w:pPr>
        <w:spacing w:line="276" w:lineRule="auto"/>
        <w:jc w:val="both"/>
        <w:rPr>
          <w:rFonts w:ascii="Arial" w:hAnsi="Arial" w:cs="Arial"/>
        </w:rPr>
      </w:pPr>
      <w:r>
        <w:rPr>
          <w:noProof/>
          <w:lang w:eastAsia="es-ES"/>
        </w:rPr>
        <w:drawing>
          <wp:inline distT="0" distB="0" distL="0" distR="0" wp14:anchorId="65174884" wp14:editId="4945DC4D">
            <wp:extent cx="5756714" cy="2867025"/>
            <wp:effectExtent l="19050" t="0" r="0" b="0"/>
            <wp:docPr id="5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grayscl/>
                    </a:blip>
                    <a:stretch>
                      <a:fillRect/>
                    </a:stretch>
                  </pic:blipFill>
                  <pic:spPr>
                    <a:xfrm>
                      <a:off x="0" y="0"/>
                      <a:ext cx="5756714" cy="2867025"/>
                    </a:xfrm>
                    <a:prstGeom prst="rect">
                      <a:avLst/>
                    </a:prstGeom>
                  </pic:spPr>
                </pic:pic>
              </a:graphicData>
            </a:graphic>
          </wp:inline>
        </w:drawing>
      </w: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r>
        <w:rPr>
          <w:noProof/>
          <w:lang w:eastAsia="es-ES"/>
        </w:rPr>
        <w:lastRenderedPageBreak/>
        <w:drawing>
          <wp:inline distT="0" distB="0" distL="0" distR="0" wp14:anchorId="1821427A" wp14:editId="4F000741">
            <wp:extent cx="5656563" cy="6962775"/>
            <wp:effectExtent l="19050" t="0" r="1287" b="0"/>
            <wp:docPr id="5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grayscl/>
                    </a:blip>
                    <a:stretch>
                      <a:fillRect/>
                    </a:stretch>
                  </pic:blipFill>
                  <pic:spPr>
                    <a:xfrm>
                      <a:off x="0" y="0"/>
                      <a:ext cx="5656563" cy="6962775"/>
                    </a:xfrm>
                    <a:prstGeom prst="rect">
                      <a:avLst/>
                    </a:prstGeom>
                  </pic:spPr>
                </pic:pic>
              </a:graphicData>
            </a:graphic>
          </wp:inline>
        </w:drawing>
      </w: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r>
        <w:rPr>
          <w:noProof/>
          <w:lang w:eastAsia="es-ES"/>
        </w:rPr>
        <w:lastRenderedPageBreak/>
        <w:drawing>
          <wp:inline distT="0" distB="0" distL="0" distR="0" wp14:anchorId="4F2326A6" wp14:editId="128E8693">
            <wp:extent cx="5805433" cy="7427539"/>
            <wp:effectExtent l="19050" t="0" r="4817" b="0"/>
            <wp:docPr id="5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grayscl/>
                    </a:blip>
                    <a:stretch>
                      <a:fillRect/>
                    </a:stretch>
                  </pic:blipFill>
                  <pic:spPr>
                    <a:xfrm>
                      <a:off x="0" y="0"/>
                      <a:ext cx="5806935" cy="7429461"/>
                    </a:xfrm>
                    <a:prstGeom prst="rect">
                      <a:avLst/>
                    </a:prstGeom>
                  </pic:spPr>
                </pic:pic>
              </a:graphicData>
            </a:graphic>
          </wp:inline>
        </w:drawing>
      </w: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r>
        <w:rPr>
          <w:noProof/>
          <w:lang w:eastAsia="es-ES"/>
        </w:rPr>
        <w:lastRenderedPageBreak/>
        <w:drawing>
          <wp:inline distT="0" distB="0" distL="0" distR="0" wp14:anchorId="00CD67D5" wp14:editId="63151338">
            <wp:extent cx="5863348" cy="7861229"/>
            <wp:effectExtent l="19050" t="0" r="4052" b="0"/>
            <wp:docPr id="6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grayscl/>
                    </a:blip>
                    <a:stretch>
                      <a:fillRect/>
                    </a:stretch>
                  </pic:blipFill>
                  <pic:spPr>
                    <a:xfrm>
                      <a:off x="0" y="0"/>
                      <a:ext cx="5868035" cy="7867513"/>
                    </a:xfrm>
                    <a:prstGeom prst="rect">
                      <a:avLst/>
                    </a:prstGeom>
                  </pic:spPr>
                </pic:pic>
              </a:graphicData>
            </a:graphic>
          </wp:inline>
        </w:drawing>
      </w: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Default="002047EF" w:rsidP="002047EF">
      <w:pPr>
        <w:spacing w:line="276" w:lineRule="auto"/>
        <w:jc w:val="both"/>
        <w:rPr>
          <w:rFonts w:ascii="Arial" w:hAnsi="Arial" w:cs="Arial"/>
        </w:rPr>
      </w:pPr>
    </w:p>
    <w:p w:rsidR="002047EF" w:rsidRPr="00056952" w:rsidRDefault="002047EF" w:rsidP="00DC6E74">
      <w:pPr>
        <w:pStyle w:val="Ttulo2"/>
        <w:numPr>
          <w:ilvl w:val="1"/>
          <w:numId w:val="28"/>
        </w:numPr>
        <w:spacing w:before="0" w:line="276" w:lineRule="auto"/>
        <w:rPr>
          <w:rFonts w:ascii="Arial" w:hAnsi="Arial" w:cs="Arial"/>
          <w:color w:val="C00000"/>
          <w:sz w:val="22"/>
          <w:szCs w:val="22"/>
        </w:rPr>
      </w:pPr>
      <w:bookmarkStart w:id="177" w:name="_Toc385001371"/>
      <w:bookmarkStart w:id="178" w:name="_Toc385418240"/>
      <w:bookmarkStart w:id="179" w:name="_Toc386007261"/>
      <w:bookmarkStart w:id="180" w:name="_Toc389666638"/>
      <w:r w:rsidRPr="00056952">
        <w:rPr>
          <w:rFonts w:ascii="Arial" w:hAnsi="Arial" w:cs="Arial"/>
          <w:color w:val="C00000"/>
          <w:sz w:val="22"/>
          <w:szCs w:val="22"/>
        </w:rPr>
        <w:lastRenderedPageBreak/>
        <w:t>Coordinación institucional de las políticas laborales</w:t>
      </w:r>
      <w:bookmarkEnd w:id="177"/>
      <w:bookmarkEnd w:id="178"/>
      <w:bookmarkEnd w:id="179"/>
      <w:bookmarkEnd w:id="180"/>
      <w:r w:rsidRPr="00056952">
        <w:rPr>
          <w:rFonts w:ascii="Arial" w:hAnsi="Arial" w:cs="Arial"/>
          <w:color w:val="C00000"/>
          <w:sz w:val="22"/>
          <w:szCs w:val="22"/>
        </w:rPr>
        <w:t xml:space="preserve"> </w:t>
      </w:r>
    </w:p>
    <w:p w:rsidR="002047EF" w:rsidRDefault="002047EF" w:rsidP="002047EF">
      <w:pPr>
        <w:spacing w:line="276" w:lineRule="auto"/>
        <w:jc w:val="both"/>
        <w:rPr>
          <w:rFonts w:ascii="Arial" w:hAnsi="Arial" w:cs="Arial"/>
        </w:rPr>
      </w:pPr>
    </w:p>
    <w:p w:rsidR="002047EF" w:rsidRPr="00EC18C0" w:rsidRDefault="002047EF" w:rsidP="002047EF">
      <w:pPr>
        <w:autoSpaceDE w:val="0"/>
        <w:autoSpaceDN w:val="0"/>
        <w:adjustRightInd w:val="0"/>
        <w:spacing w:line="276" w:lineRule="auto"/>
        <w:jc w:val="both"/>
        <w:rPr>
          <w:rFonts w:ascii="Arial" w:eastAsiaTheme="minorHAnsi" w:hAnsi="Arial" w:cs="Arial"/>
          <w:lang w:val="es-CO"/>
        </w:rPr>
      </w:pPr>
      <w:r w:rsidRPr="00EC18C0">
        <w:rPr>
          <w:rFonts w:ascii="Arial" w:eastAsiaTheme="minorHAnsi" w:hAnsi="Arial" w:cs="Arial"/>
          <w:lang w:val="es-CO"/>
        </w:rPr>
        <w:t>En el departamento existen dos instancias que velan por las buenas relaciones entre empleados y empleadores, pero también como órganos de control y vigilancia de asuntos relacionados con el trabajo. Una es la subcomisión departamental de concertación de políticas salariales y laborales, que después de un receso fue relanzada en noviembre de 2012 en el marco del vigésimo foro sobre negociación colectiva realizado en Cartagena. Ésta ha retomado su deber constitucional de fomentar las buenas relaciones laborales en el territorio, dar de manera clara los lineamientos de política laboral y salarial e intervenir en los conflictos colectivos del trabajo.</w:t>
      </w:r>
    </w:p>
    <w:p w:rsidR="002047EF" w:rsidRPr="00EC18C0"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r w:rsidRPr="00EC18C0">
        <w:rPr>
          <w:rFonts w:ascii="Arial" w:eastAsiaTheme="minorHAnsi" w:hAnsi="Arial" w:cs="Arial"/>
          <w:lang w:val="es-CO"/>
        </w:rPr>
        <w:t>La otra es la Dirección Territorial del Ministerio del Trabajo en Bolívar, oficina que depende de la Dirección de vigilancia, control y gestión territorial. Sus funciones están relacionadas con la atención en el territorio de los asuntos relacionados con trabajo y empleo, tales como la mejora en la relación entre empleadores y trabajadores. Además, están encargadas de planear, programar y ejecutar, en su jurisdicción, las acciones de prevención, inspección, vigilancia y control en materia de trabajo, empleo, migraciones laborales, salud ocupacional y seguridad en el trabajo, de acuerdo con las normas vigentes y las políticas, directrices y lineamientos establecidos por el Ministerio del Trabajo.</w:t>
      </w: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Default="002047EF" w:rsidP="002047EF">
      <w:pPr>
        <w:autoSpaceDE w:val="0"/>
        <w:autoSpaceDN w:val="0"/>
        <w:adjustRightInd w:val="0"/>
        <w:spacing w:line="276" w:lineRule="auto"/>
        <w:jc w:val="both"/>
        <w:rPr>
          <w:rFonts w:ascii="Arial" w:eastAsiaTheme="minorHAnsi" w:hAnsi="Arial" w:cs="Arial"/>
          <w:lang w:val="es-CO"/>
        </w:rPr>
      </w:pPr>
    </w:p>
    <w:p w:rsidR="002047EF" w:rsidRPr="00E154EB" w:rsidRDefault="002047EF" w:rsidP="00DC6E74">
      <w:pPr>
        <w:pStyle w:val="Ttulo1"/>
        <w:numPr>
          <w:ilvl w:val="0"/>
          <w:numId w:val="28"/>
        </w:numPr>
        <w:rPr>
          <w:rFonts w:ascii="Arial" w:hAnsi="Arial" w:cs="Arial"/>
          <w:color w:val="C00000"/>
          <w:sz w:val="24"/>
          <w:szCs w:val="24"/>
        </w:rPr>
      </w:pPr>
      <w:bookmarkStart w:id="181" w:name="_Toc385001372"/>
      <w:bookmarkStart w:id="182" w:name="_Toc385418241"/>
      <w:bookmarkStart w:id="183" w:name="_Toc386007262"/>
      <w:bookmarkStart w:id="184" w:name="_Toc389666639"/>
      <w:r w:rsidRPr="00E154EB">
        <w:rPr>
          <w:rFonts w:ascii="Arial" w:hAnsi="Arial" w:cs="Arial"/>
          <w:color w:val="C00000"/>
          <w:sz w:val="24"/>
          <w:szCs w:val="24"/>
        </w:rPr>
        <w:t>Objetivos y metas del plan departamental de empleo</w:t>
      </w:r>
      <w:bookmarkEnd w:id="181"/>
      <w:bookmarkEnd w:id="182"/>
      <w:bookmarkEnd w:id="183"/>
      <w:bookmarkEnd w:id="184"/>
    </w:p>
    <w:p w:rsidR="002047EF" w:rsidRPr="002D00D1" w:rsidRDefault="002047EF" w:rsidP="00E154EB"/>
    <w:p w:rsidR="002047EF" w:rsidRDefault="002047EF" w:rsidP="00056952">
      <w:pPr>
        <w:autoSpaceDE w:val="0"/>
        <w:autoSpaceDN w:val="0"/>
        <w:adjustRightInd w:val="0"/>
        <w:spacing w:line="276" w:lineRule="auto"/>
        <w:jc w:val="both"/>
      </w:pPr>
      <w:r>
        <w:rPr>
          <w:rFonts w:ascii="Arial" w:eastAsia="Times New Roman" w:hAnsi="Arial" w:cs="Arial"/>
          <w:color w:val="000000"/>
          <w:lang w:eastAsia="es-CO"/>
        </w:rPr>
        <w:t>El plan de empleo se estructura para contribuir a solucionar los problemas del mercado laboral detectados en el departamento de Bolívar. A continuación se presentan los objetivos que describen los rasgos característicos del PDE y se definen sus metas e indicadores.</w:t>
      </w:r>
    </w:p>
    <w:p w:rsidR="002047EF" w:rsidRPr="00BD4679" w:rsidRDefault="002047EF" w:rsidP="00056952">
      <w:pPr>
        <w:autoSpaceDE w:val="0"/>
        <w:autoSpaceDN w:val="0"/>
        <w:adjustRightInd w:val="0"/>
        <w:spacing w:line="276" w:lineRule="auto"/>
        <w:jc w:val="both"/>
        <w:rPr>
          <w:rFonts w:ascii="Arial" w:eastAsiaTheme="minorHAnsi" w:hAnsi="Arial" w:cs="Arial"/>
        </w:rPr>
      </w:pPr>
    </w:p>
    <w:p w:rsidR="002047EF" w:rsidRPr="00E154EB" w:rsidRDefault="002047EF" w:rsidP="00DC6E74">
      <w:pPr>
        <w:pStyle w:val="Ttulo2"/>
        <w:numPr>
          <w:ilvl w:val="1"/>
          <w:numId w:val="30"/>
        </w:numPr>
        <w:spacing w:before="0" w:line="276" w:lineRule="auto"/>
        <w:rPr>
          <w:rFonts w:ascii="Arial" w:hAnsi="Arial" w:cs="Arial"/>
          <w:color w:val="C00000"/>
          <w:sz w:val="22"/>
          <w:szCs w:val="22"/>
        </w:rPr>
      </w:pPr>
      <w:bookmarkStart w:id="185" w:name="_Toc386007263"/>
      <w:bookmarkStart w:id="186" w:name="_Toc389666640"/>
      <w:r w:rsidRPr="00E154EB">
        <w:rPr>
          <w:rFonts w:ascii="Arial" w:hAnsi="Arial" w:cs="Arial"/>
          <w:color w:val="C00000"/>
          <w:sz w:val="22"/>
          <w:szCs w:val="22"/>
        </w:rPr>
        <w:t>Objetivo</w:t>
      </w:r>
      <w:bookmarkEnd w:id="185"/>
      <w:r w:rsidRPr="00E154EB">
        <w:rPr>
          <w:rFonts w:ascii="Arial" w:hAnsi="Arial" w:cs="Arial"/>
          <w:color w:val="C00000"/>
          <w:sz w:val="22"/>
          <w:szCs w:val="22"/>
        </w:rPr>
        <w:t xml:space="preserve"> general</w:t>
      </w:r>
      <w:bookmarkEnd w:id="186"/>
      <w:r w:rsidRPr="00E154EB">
        <w:rPr>
          <w:rFonts w:ascii="Arial" w:hAnsi="Arial" w:cs="Arial"/>
          <w:color w:val="C00000"/>
          <w:sz w:val="22"/>
          <w:szCs w:val="22"/>
        </w:rPr>
        <w:t xml:space="preserve"> </w:t>
      </w:r>
    </w:p>
    <w:p w:rsidR="002047EF" w:rsidRDefault="002047EF" w:rsidP="00056952">
      <w:pPr>
        <w:spacing w:line="276" w:lineRule="auto"/>
        <w:jc w:val="both"/>
        <w:rPr>
          <w:rFonts w:ascii="Arial" w:eastAsia="Times New Roman" w:hAnsi="Arial" w:cs="Arial"/>
          <w:color w:val="000000"/>
          <w:lang w:eastAsia="es-CO"/>
        </w:rPr>
      </w:pPr>
    </w:p>
    <w:p w:rsidR="002047EF" w:rsidRPr="006E3AA8" w:rsidRDefault="002047EF" w:rsidP="00056952">
      <w:pPr>
        <w:spacing w:line="276" w:lineRule="auto"/>
        <w:jc w:val="both"/>
        <w:rPr>
          <w:rFonts w:ascii="Arial" w:eastAsia="Times New Roman" w:hAnsi="Arial" w:cs="Arial"/>
          <w:color w:val="000000"/>
          <w:lang w:eastAsia="es-CO"/>
        </w:rPr>
      </w:pPr>
      <w:r>
        <w:rPr>
          <w:rFonts w:ascii="Arial" w:eastAsia="Times New Roman" w:hAnsi="Arial" w:cs="Arial"/>
          <w:color w:val="000000"/>
          <w:lang w:eastAsia="es-CO"/>
        </w:rPr>
        <w:t>M</w:t>
      </w:r>
      <w:r w:rsidRPr="006E3AA8">
        <w:rPr>
          <w:rFonts w:ascii="Arial" w:eastAsia="Times New Roman" w:hAnsi="Arial" w:cs="Arial"/>
          <w:color w:val="000000"/>
          <w:lang w:eastAsia="es-CO"/>
        </w:rPr>
        <w:t xml:space="preserve">ejorar los niveles de </w:t>
      </w:r>
      <w:r>
        <w:rPr>
          <w:rFonts w:ascii="Arial" w:eastAsia="Times New Roman" w:hAnsi="Arial" w:cs="Arial"/>
          <w:color w:val="000000"/>
          <w:lang w:eastAsia="es-CO"/>
        </w:rPr>
        <w:t>empleo de calidad</w:t>
      </w:r>
      <w:r w:rsidRPr="006E3AA8">
        <w:rPr>
          <w:rFonts w:ascii="Arial" w:eastAsia="Times New Roman" w:hAnsi="Arial" w:cs="Arial"/>
          <w:color w:val="000000"/>
          <w:lang w:eastAsia="es-CO"/>
        </w:rPr>
        <w:t xml:space="preserve">, </w:t>
      </w:r>
      <w:r>
        <w:rPr>
          <w:rFonts w:ascii="Arial" w:eastAsia="Times New Roman" w:hAnsi="Arial" w:cs="Arial"/>
          <w:color w:val="000000"/>
          <w:lang w:eastAsia="es-CO"/>
        </w:rPr>
        <w:t xml:space="preserve">los </w:t>
      </w:r>
      <w:r w:rsidRPr="006E3AA8">
        <w:rPr>
          <w:rFonts w:ascii="Arial" w:eastAsia="Times New Roman" w:hAnsi="Arial" w:cs="Arial"/>
          <w:color w:val="000000"/>
          <w:lang w:eastAsia="es-CO"/>
        </w:rPr>
        <w:t xml:space="preserve">ingresos y las condiciones de vida de la población </w:t>
      </w:r>
      <w:r>
        <w:rPr>
          <w:rFonts w:ascii="Arial" w:eastAsia="Times New Roman" w:hAnsi="Arial" w:cs="Arial"/>
          <w:color w:val="000000"/>
          <w:lang w:eastAsia="es-CO"/>
        </w:rPr>
        <w:t>de Bolívar a partir de los</w:t>
      </w:r>
      <w:r w:rsidRPr="006E3AA8">
        <w:rPr>
          <w:rFonts w:ascii="Arial" w:eastAsia="Times New Roman" w:hAnsi="Arial" w:cs="Arial"/>
          <w:color w:val="000000"/>
          <w:lang w:eastAsia="es-CO"/>
        </w:rPr>
        <w:t xml:space="preserve"> lineamientos de política pública del territorio</w:t>
      </w:r>
      <w:r>
        <w:rPr>
          <w:rFonts w:ascii="Arial" w:eastAsia="Times New Roman" w:hAnsi="Arial" w:cs="Arial"/>
          <w:color w:val="000000"/>
          <w:lang w:eastAsia="es-CO"/>
        </w:rPr>
        <w:t xml:space="preserve"> y su articulación con el sector privado.</w:t>
      </w:r>
    </w:p>
    <w:p w:rsidR="002047EF" w:rsidRPr="00427263" w:rsidRDefault="002047EF" w:rsidP="00056952">
      <w:pPr>
        <w:pStyle w:val="Prrafodelista"/>
        <w:spacing w:line="276" w:lineRule="auto"/>
        <w:ind w:left="480"/>
        <w:jc w:val="both"/>
        <w:rPr>
          <w:rFonts w:cs="Arial"/>
        </w:rPr>
      </w:pPr>
    </w:p>
    <w:p w:rsidR="002047EF" w:rsidRPr="00E154EB" w:rsidRDefault="002047EF" w:rsidP="00DC6E74">
      <w:pPr>
        <w:pStyle w:val="Ttulo2"/>
        <w:numPr>
          <w:ilvl w:val="1"/>
          <w:numId w:val="30"/>
        </w:numPr>
        <w:spacing w:before="0" w:line="276" w:lineRule="auto"/>
        <w:rPr>
          <w:rFonts w:ascii="Arial" w:hAnsi="Arial" w:cs="Arial"/>
          <w:color w:val="C00000"/>
          <w:sz w:val="22"/>
          <w:szCs w:val="22"/>
        </w:rPr>
      </w:pPr>
      <w:bookmarkStart w:id="187" w:name="_Toc389666641"/>
      <w:r w:rsidRPr="00E154EB">
        <w:rPr>
          <w:rFonts w:ascii="Arial" w:hAnsi="Arial" w:cs="Arial"/>
          <w:color w:val="C00000"/>
          <w:sz w:val="22"/>
          <w:szCs w:val="22"/>
        </w:rPr>
        <w:t>Objetivos específicos</w:t>
      </w:r>
      <w:bookmarkEnd w:id="187"/>
    </w:p>
    <w:p w:rsidR="002047EF" w:rsidRPr="006E3AA8" w:rsidRDefault="002047EF" w:rsidP="00056952">
      <w:pPr>
        <w:spacing w:line="276" w:lineRule="auto"/>
      </w:pPr>
    </w:p>
    <w:p w:rsidR="002047EF" w:rsidRPr="00BD4679" w:rsidRDefault="002047EF" w:rsidP="00DC6E74">
      <w:pPr>
        <w:pStyle w:val="Prrafodelista"/>
        <w:numPr>
          <w:ilvl w:val="0"/>
          <w:numId w:val="29"/>
        </w:numPr>
        <w:autoSpaceDE w:val="0"/>
        <w:autoSpaceDN w:val="0"/>
        <w:adjustRightInd w:val="0"/>
        <w:spacing w:line="276" w:lineRule="auto"/>
        <w:jc w:val="both"/>
        <w:rPr>
          <w:rFonts w:ascii="Arial" w:eastAsiaTheme="minorHAnsi" w:hAnsi="Arial" w:cs="Arial"/>
          <w:lang w:val="es-CO"/>
        </w:rPr>
      </w:pPr>
      <w:r w:rsidRPr="00BD4679">
        <w:rPr>
          <w:rFonts w:ascii="Arial" w:eastAsiaTheme="minorHAnsi" w:hAnsi="Arial" w:cs="Arial"/>
          <w:lang w:val="es-CO"/>
        </w:rPr>
        <w:t xml:space="preserve">Coadyuvar al mejoramiento de la calidad del empleo en el departamento de Bolívar, a través de la disminución de los índices de subempleo e informalidad laboral. </w:t>
      </w:r>
    </w:p>
    <w:p w:rsidR="002047EF" w:rsidRPr="001F348B" w:rsidRDefault="002047EF" w:rsidP="00DC6E74">
      <w:pPr>
        <w:pStyle w:val="Prrafodelista"/>
        <w:numPr>
          <w:ilvl w:val="0"/>
          <w:numId w:val="29"/>
        </w:numPr>
        <w:autoSpaceDE w:val="0"/>
        <w:autoSpaceDN w:val="0"/>
        <w:adjustRightInd w:val="0"/>
        <w:spacing w:line="276" w:lineRule="auto"/>
        <w:jc w:val="both"/>
        <w:rPr>
          <w:rFonts w:ascii="Arial" w:hAnsi="Arial" w:cs="Arial"/>
        </w:rPr>
      </w:pPr>
      <w:r w:rsidRPr="00BD4679">
        <w:rPr>
          <w:rFonts w:ascii="Arial" w:eastAsiaTheme="minorHAnsi" w:hAnsi="Arial" w:cs="Arial"/>
          <w:lang w:val="es-CO"/>
        </w:rPr>
        <w:t>Contribuir con la generación de mejores condiciones de empleo, empleabilidad y emprendimiento para población vulnerable del departamento Bolívar.</w:t>
      </w:r>
    </w:p>
    <w:p w:rsidR="00870291" w:rsidRPr="00BD4679" w:rsidRDefault="00870291" w:rsidP="00DC6E74">
      <w:pPr>
        <w:pStyle w:val="Prrafodelista"/>
        <w:numPr>
          <w:ilvl w:val="0"/>
          <w:numId w:val="29"/>
        </w:numPr>
        <w:autoSpaceDE w:val="0"/>
        <w:autoSpaceDN w:val="0"/>
        <w:adjustRightInd w:val="0"/>
        <w:spacing w:line="276" w:lineRule="auto"/>
        <w:jc w:val="both"/>
        <w:rPr>
          <w:rFonts w:ascii="Arial" w:eastAsiaTheme="minorHAnsi" w:hAnsi="Arial" w:cs="Arial"/>
          <w:lang w:val="es-CO"/>
        </w:rPr>
      </w:pPr>
      <w:r w:rsidRPr="00BD4679">
        <w:rPr>
          <w:rFonts w:ascii="Arial" w:eastAsiaTheme="minorHAnsi" w:hAnsi="Arial" w:cs="Arial"/>
          <w:lang w:val="es-CO"/>
        </w:rPr>
        <w:t>Contribuir al sostenimiento de la tendencia decreciente de los niveles de desempleo en el departamento de Bolívar.</w:t>
      </w:r>
    </w:p>
    <w:p w:rsidR="00870291" w:rsidRPr="00BD4679" w:rsidRDefault="00870291" w:rsidP="001F348B">
      <w:pPr>
        <w:pStyle w:val="Prrafodelista"/>
        <w:autoSpaceDE w:val="0"/>
        <w:autoSpaceDN w:val="0"/>
        <w:adjustRightInd w:val="0"/>
        <w:spacing w:line="276" w:lineRule="auto"/>
        <w:jc w:val="both"/>
        <w:rPr>
          <w:rFonts w:ascii="Arial" w:hAnsi="Arial" w:cs="Arial"/>
        </w:rPr>
      </w:pPr>
    </w:p>
    <w:p w:rsidR="002047EF" w:rsidRDefault="002047EF" w:rsidP="00056952">
      <w:pPr>
        <w:autoSpaceDE w:val="0"/>
        <w:autoSpaceDN w:val="0"/>
        <w:adjustRightInd w:val="0"/>
        <w:spacing w:line="276" w:lineRule="auto"/>
        <w:jc w:val="both"/>
        <w:rPr>
          <w:rFonts w:ascii="Arial" w:hAnsi="Arial" w:cs="Arial"/>
        </w:rPr>
      </w:pPr>
    </w:p>
    <w:p w:rsidR="002047EF" w:rsidRPr="00E154EB" w:rsidRDefault="002047EF" w:rsidP="00056952">
      <w:pPr>
        <w:pStyle w:val="Ttulo2"/>
        <w:spacing w:before="0" w:line="276" w:lineRule="auto"/>
        <w:ind w:left="360"/>
        <w:rPr>
          <w:rFonts w:ascii="Arial" w:hAnsi="Arial" w:cs="Arial"/>
          <w:color w:val="C00000"/>
          <w:sz w:val="22"/>
          <w:szCs w:val="22"/>
        </w:rPr>
      </w:pPr>
      <w:bookmarkStart w:id="188" w:name="_Toc389666642"/>
      <w:r w:rsidRPr="00E154EB">
        <w:rPr>
          <w:rFonts w:ascii="Arial" w:hAnsi="Arial" w:cs="Arial"/>
          <w:color w:val="C00000"/>
          <w:sz w:val="22"/>
          <w:szCs w:val="22"/>
        </w:rPr>
        <w:t xml:space="preserve">6.3 </w:t>
      </w:r>
      <w:bookmarkStart w:id="189" w:name="_Toc386117153"/>
      <w:bookmarkStart w:id="190" w:name="_Toc386469020"/>
      <w:r w:rsidRPr="00E154EB">
        <w:rPr>
          <w:rFonts w:ascii="Arial" w:hAnsi="Arial" w:cs="Arial"/>
          <w:color w:val="C00000"/>
          <w:sz w:val="22"/>
          <w:szCs w:val="22"/>
        </w:rPr>
        <w:t>Metas e indicadores</w:t>
      </w:r>
      <w:bookmarkEnd w:id="188"/>
      <w:bookmarkEnd w:id="189"/>
      <w:bookmarkEnd w:id="190"/>
    </w:p>
    <w:p w:rsidR="002047EF" w:rsidRPr="00C42CF8" w:rsidRDefault="002047EF" w:rsidP="00056952">
      <w:pPr>
        <w:spacing w:line="276" w:lineRule="auto"/>
        <w:rPr>
          <w:rFonts w:ascii="Arial" w:hAnsi="Arial" w:cs="Arial"/>
          <w:color w:val="0000FF"/>
        </w:rPr>
      </w:pPr>
    </w:p>
    <w:p w:rsidR="002047EF" w:rsidRPr="00A00E42" w:rsidRDefault="002047EF" w:rsidP="00056952">
      <w:pPr>
        <w:spacing w:line="276" w:lineRule="auto"/>
        <w:rPr>
          <w:rFonts w:ascii="Arial" w:eastAsiaTheme="minorHAnsi" w:hAnsi="Arial" w:cs="Arial"/>
          <w:lang w:val="es-CO"/>
        </w:rPr>
      </w:pPr>
      <w:r w:rsidRPr="00A00E42">
        <w:rPr>
          <w:rFonts w:ascii="Arial" w:eastAsiaTheme="minorHAnsi" w:hAnsi="Arial" w:cs="Arial"/>
          <w:lang w:val="es-CO"/>
        </w:rPr>
        <w:t xml:space="preserve">El presente plan de empleo presenta las siguientes metas y los indicadores identificados para su seguimiento. </w:t>
      </w:r>
    </w:p>
    <w:p w:rsidR="002047EF" w:rsidRDefault="002047EF" w:rsidP="00056952">
      <w:pPr>
        <w:pStyle w:val="Sinespaciado"/>
        <w:spacing w:line="276" w:lineRule="auto"/>
        <w:ind w:left="360"/>
        <w:jc w:val="both"/>
        <w:rPr>
          <w:rFonts w:ascii="Arial" w:hAnsi="Arial" w:cs="Arial"/>
        </w:rPr>
      </w:pPr>
    </w:p>
    <w:tbl>
      <w:tblPr>
        <w:tblStyle w:val="Tablaconcuadrcula"/>
        <w:tblW w:w="0" w:type="auto"/>
        <w:tblInd w:w="108" w:type="dxa"/>
        <w:tblLook w:val="04A0" w:firstRow="1" w:lastRow="0" w:firstColumn="1" w:lastColumn="0" w:noHBand="0" w:noVBand="1"/>
      </w:tblPr>
      <w:tblGrid>
        <w:gridCol w:w="4448"/>
        <w:gridCol w:w="4158"/>
      </w:tblGrid>
      <w:tr w:rsidR="002047EF" w:rsidRPr="002A1739" w:rsidTr="00D9744C">
        <w:tc>
          <w:tcPr>
            <w:tcW w:w="4448" w:type="dxa"/>
            <w:shd w:val="clear" w:color="auto" w:fill="auto"/>
          </w:tcPr>
          <w:p w:rsidR="002047EF" w:rsidRPr="00A00E42" w:rsidRDefault="002047EF" w:rsidP="00212C5E">
            <w:pPr>
              <w:pStyle w:val="Sinespaciado"/>
              <w:spacing w:line="276" w:lineRule="auto"/>
              <w:jc w:val="center"/>
              <w:rPr>
                <w:rFonts w:ascii="Arial" w:hAnsi="Arial" w:cs="Arial"/>
                <w:b/>
              </w:rPr>
            </w:pPr>
            <w:r w:rsidRPr="00A00E42">
              <w:rPr>
                <w:rFonts w:ascii="Arial" w:hAnsi="Arial" w:cs="Arial"/>
                <w:b/>
              </w:rPr>
              <w:t>Metas</w:t>
            </w:r>
          </w:p>
        </w:tc>
        <w:tc>
          <w:tcPr>
            <w:tcW w:w="4158" w:type="dxa"/>
            <w:shd w:val="clear" w:color="auto" w:fill="auto"/>
          </w:tcPr>
          <w:p w:rsidR="002047EF" w:rsidRPr="00A00E42" w:rsidRDefault="002047EF" w:rsidP="00212C5E">
            <w:pPr>
              <w:pStyle w:val="Sinespaciado"/>
              <w:spacing w:line="276" w:lineRule="auto"/>
              <w:jc w:val="center"/>
              <w:rPr>
                <w:rFonts w:ascii="Arial" w:hAnsi="Arial" w:cs="Arial"/>
                <w:b/>
              </w:rPr>
            </w:pPr>
            <w:r w:rsidRPr="00A00E42">
              <w:rPr>
                <w:rFonts w:ascii="Arial" w:hAnsi="Arial" w:cs="Arial"/>
                <w:b/>
              </w:rPr>
              <w:t>Indicadores</w:t>
            </w:r>
          </w:p>
        </w:tc>
      </w:tr>
      <w:tr w:rsidR="002047EF" w:rsidRPr="002A1739" w:rsidTr="00D9744C">
        <w:tc>
          <w:tcPr>
            <w:tcW w:w="8606" w:type="dxa"/>
            <w:gridSpan w:val="2"/>
            <w:shd w:val="clear" w:color="auto" w:fill="auto"/>
          </w:tcPr>
          <w:p w:rsidR="002047EF" w:rsidRPr="001C2BF2" w:rsidRDefault="002047EF" w:rsidP="00212C5E">
            <w:pPr>
              <w:pStyle w:val="Ttulo3"/>
              <w:ind w:left="720" w:hanging="720"/>
              <w:outlineLvl w:val="2"/>
              <w:rPr>
                <w:rFonts w:ascii="Arial" w:hAnsi="Arial" w:cs="Arial"/>
                <w:color w:val="C00000"/>
              </w:rPr>
            </w:pPr>
            <w:bookmarkStart w:id="191" w:name="_Toc386117154"/>
            <w:bookmarkStart w:id="192" w:name="_Toc386469021"/>
            <w:bookmarkStart w:id="193" w:name="_Toc389666643"/>
            <w:r w:rsidRPr="00A00E42">
              <w:rPr>
                <w:rFonts w:ascii="Arial" w:hAnsi="Arial" w:cs="Arial"/>
                <w:color w:val="C00000"/>
              </w:rPr>
              <w:t>6.3.1 Metas de gestión</w:t>
            </w:r>
            <w:bookmarkEnd w:id="191"/>
            <w:bookmarkEnd w:id="192"/>
            <w:bookmarkEnd w:id="193"/>
          </w:p>
          <w:p w:rsidR="002047EF" w:rsidRPr="001C2BF2" w:rsidRDefault="002047EF" w:rsidP="00212C5E">
            <w:pPr>
              <w:pStyle w:val="Sinespaciado"/>
              <w:spacing w:line="276" w:lineRule="auto"/>
              <w:ind w:hanging="720"/>
              <w:rPr>
                <w:rFonts w:ascii="Arial" w:hAnsi="Arial" w:cs="Arial"/>
                <w:bCs/>
                <w:color w:val="C00000"/>
              </w:rPr>
            </w:pPr>
          </w:p>
        </w:tc>
      </w:tr>
      <w:tr w:rsidR="007000E0" w:rsidRPr="002A1739" w:rsidTr="007000E0">
        <w:trPr>
          <w:trHeight w:val="1165"/>
        </w:trPr>
        <w:tc>
          <w:tcPr>
            <w:tcW w:w="4448" w:type="dxa"/>
            <w:shd w:val="clear" w:color="auto" w:fill="auto"/>
          </w:tcPr>
          <w:p w:rsidR="007000E0" w:rsidRPr="002A1739" w:rsidRDefault="007000E0" w:rsidP="00212C5E">
            <w:pPr>
              <w:jc w:val="both"/>
              <w:rPr>
                <w:rFonts w:ascii="Arial" w:hAnsi="Arial" w:cs="Arial"/>
              </w:rPr>
            </w:pPr>
            <w:r>
              <w:rPr>
                <w:rFonts w:ascii="Arial" w:hAnsi="Arial" w:cs="Arial"/>
              </w:rPr>
              <w:t>Crear y poner en funcionamiento</w:t>
            </w:r>
            <w:r w:rsidRPr="00F93D0C">
              <w:rPr>
                <w:rFonts w:ascii="Arial" w:hAnsi="Arial" w:cs="Arial"/>
              </w:rPr>
              <w:t xml:space="preserve"> la mesa técnica de empleo regional, con el apoyo del observatorio laboral</w:t>
            </w:r>
            <w:r>
              <w:rPr>
                <w:rFonts w:ascii="Arial" w:hAnsi="Arial" w:cs="Arial"/>
              </w:rPr>
              <w:t xml:space="preserve"> del departamento.</w:t>
            </w:r>
          </w:p>
        </w:tc>
        <w:tc>
          <w:tcPr>
            <w:tcW w:w="4158" w:type="dxa"/>
            <w:shd w:val="clear" w:color="auto" w:fill="auto"/>
          </w:tcPr>
          <w:p w:rsidR="007000E0" w:rsidRPr="002A1739" w:rsidRDefault="007000E0" w:rsidP="00212C5E">
            <w:pPr>
              <w:pStyle w:val="Sinespaciado"/>
              <w:spacing w:line="276" w:lineRule="auto"/>
              <w:jc w:val="both"/>
              <w:rPr>
                <w:rFonts w:ascii="Arial" w:hAnsi="Arial" w:cs="Arial"/>
              </w:rPr>
            </w:pPr>
            <w:r>
              <w:rPr>
                <w:rFonts w:ascii="Arial" w:hAnsi="Arial" w:cs="Arial"/>
              </w:rPr>
              <w:t>Mesa técnica creada y en funcionamiento.</w:t>
            </w:r>
          </w:p>
        </w:tc>
      </w:tr>
      <w:tr w:rsidR="002047EF" w:rsidRPr="002A1739" w:rsidTr="00D9744C">
        <w:trPr>
          <w:trHeight w:val="2230"/>
        </w:trPr>
        <w:tc>
          <w:tcPr>
            <w:tcW w:w="4448" w:type="dxa"/>
            <w:shd w:val="clear" w:color="auto" w:fill="auto"/>
          </w:tcPr>
          <w:p w:rsidR="002047EF" w:rsidRPr="00A00E42" w:rsidRDefault="002047EF" w:rsidP="00212C5E">
            <w:pPr>
              <w:jc w:val="both"/>
              <w:rPr>
                <w:rFonts w:ascii="Arial" w:hAnsi="Arial" w:cs="Arial"/>
              </w:rPr>
            </w:pPr>
            <w:r w:rsidRPr="002A1739">
              <w:rPr>
                <w:rFonts w:ascii="Arial" w:hAnsi="Arial" w:cs="Arial"/>
              </w:rPr>
              <w:t xml:space="preserve">Articular  las acciones de los actores públicos y privados del departamento para alcanzar acuerdos orientados a la generación de empleo de calidad en el departamento de Bolívar. </w:t>
            </w:r>
          </w:p>
        </w:tc>
        <w:tc>
          <w:tcPr>
            <w:tcW w:w="4158" w:type="dxa"/>
            <w:shd w:val="clear" w:color="auto" w:fill="auto"/>
          </w:tcPr>
          <w:p w:rsidR="002047EF" w:rsidRPr="00A00E42" w:rsidRDefault="002047EF" w:rsidP="00212C5E">
            <w:pPr>
              <w:pStyle w:val="Sinespaciado"/>
              <w:spacing w:line="276" w:lineRule="auto"/>
              <w:jc w:val="both"/>
              <w:rPr>
                <w:rFonts w:ascii="Arial" w:hAnsi="Arial" w:cs="Arial"/>
              </w:rPr>
            </w:pPr>
            <w:r w:rsidRPr="002A1739">
              <w:rPr>
                <w:rFonts w:ascii="Arial" w:hAnsi="Arial" w:cs="Arial"/>
              </w:rPr>
              <w:t xml:space="preserve">Número de espacios institucionales efectivamente creados para articular las acciones de los actores clave del territorio del departamento. </w:t>
            </w:r>
          </w:p>
        </w:tc>
      </w:tr>
      <w:tr w:rsidR="002047EF" w:rsidRPr="002A1739" w:rsidTr="00D9744C">
        <w:trPr>
          <w:trHeight w:val="2230"/>
        </w:trPr>
        <w:tc>
          <w:tcPr>
            <w:tcW w:w="4448" w:type="dxa"/>
            <w:shd w:val="clear" w:color="auto" w:fill="auto"/>
          </w:tcPr>
          <w:p w:rsidR="002047EF" w:rsidRPr="002A1739" w:rsidRDefault="002047EF" w:rsidP="00212C5E">
            <w:pPr>
              <w:jc w:val="both"/>
              <w:rPr>
                <w:rFonts w:ascii="Arial" w:hAnsi="Arial" w:cs="Arial"/>
              </w:rPr>
            </w:pPr>
            <w:r w:rsidRPr="002A1739">
              <w:rPr>
                <w:rFonts w:ascii="Arial" w:hAnsi="Arial" w:cs="Arial"/>
              </w:rPr>
              <w:lastRenderedPageBreak/>
              <w:t xml:space="preserve">Generar, desde la Secretaría de Participación y Desarrollo Social del departamento, espacios que sirvan para articular las acciones propuestas en el presente plan con las que adelanta la Subcomisión Departamental de Concertación de Políticas Salariales y Laborales. </w:t>
            </w:r>
          </w:p>
          <w:p w:rsidR="002047EF" w:rsidRPr="002A1739" w:rsidRDefault="002047EF" w:rsidP="00212C5E">
            <w:pPr>
              <w:ind w:left="357"/>
              <w:jc w:val="both"/>
              <w:rPr>
                <w:rFonts w:ascii="Arial" w:hAnsi="Arial" w:cs="Arial"/>
              </w:rPr>
            </w:pPr>
          </w:p>
        </w:tc>
        <w:tc>
          <w:tcPr>
            <w:tcW w:w="4158" w:type="dxa"/>
            <w:shd w:val="clear" w:color="auto" w:fill="auto"/>
          </w:tcPr>
          <w:p w:rsidR="002047EF" w:rsidRPr="002A1739" w:rsidRDefault="002047EF" w:rsidP="00212C5E">
            <w:pPr>
              <w:pStyle w:val="Sinespaciado"/>
              <w:spacing w:line="276" w:lineRule="auto"/>
              <w:jc w:val="both"/>
              <w:rPr>
                <w:rFonts w:ascii="Arial" w:hAnsi="Arial" w:cs="Arial"/>
              </w:rPr>
            </w:pPr>
            <w:r w:rsidRPr="002A1739">
              <w:rPr>
                <w:rFonts w:ascii="Arial" w:hAnsi="Arial" w:cs="Arial"/>
              </w:rPr>
              <w:t>Número de espacios institucionales efectivamente creados para articular las acciones propuestas del PDE con las acciones de la Subcomisión Departamental de Concertación de Políticas Salariales y Laborales.</w:t>
            </w:r>
          </w:p>
        </w:tc>
      </w:tr>
      <w:tr w:rsidR="002047EF" w:rsidRPr="002A1739" w:rsidTr="00D9744C">
        <w:trPr>
          <w:trHeight w:val="1984"/>
        </w:trPr>
        <w:tc>
          <w:tcPr>
            <w:tcW w:w="4448" w:type="dxa"/>
            <w:shd w:val="clear" w:color="auto" w:fill="auto"/>
          </w:tcPr>
          <w:p w:rsidR="002047EF" w:rsidRPr="002A1739" w:rsidRDefault="002047EF" w:rsidP="00212C5E">
            <w:pPr>
              <w:jc w:val="both"/>
              <w:rPr>
                <w:rFonts w:ascii="Arial" w:hAnsi="Arial" w:cs="Arial"/>
              </w:rPr>
            </w:pPr>
            <w:r w:rsidRPr="00A00E42">
              <w:rPr>
                <w:rFonts w:ascii="Arial" w:hAnsi="Arial" w:cs="Arial"/>
              </w:rPr>
              <w:t xml:space="preserve">Generar y fortalecer </w:t>
            </w:r>
            <w:r w:rsidRPr="001C2BF2">
              <w:rPr>
                <w:rFonts w:ascii="Arial" w:hAnsi="Arial" w:cs="Arial"/>
              </w:rPr>
              <w:t>espacios de participa</w:t>
            </w:r>
            <w:r w:rsidRPr="002A1739">
              <w:rPr>
                <w:rFonts w:ascii="Arial" w:hAnsi="Arial" w:cs="Arial"/>
              </w:rPr>
              <w:t>ción y concertación entre los municipios y el departamento para fomentar el buen funcionamiento del mercado laboral.</w:t>
            </w:r>
          </w:p>
          <w:p w:rsidR="002047EF" w:rsidRPr="002A1739" w:rsidRDefault="002047EF" w:rsidP="00212C5E">
            <w:pPr>
              <w:pStyle w:val="Prrafodelista"/>
              <w:ind w:left="357"/>
              <w:jc w:val="both"/>
              <w:rPr>
                <w:rFonts w:ascii="Arial" w:hAnsi="Arial" w:cs="Arial"/>
              </w:rPr>
            </w:pPr>
          </w:p>
          <w:p w:rsidR="002047EF" w:rsidRPr="002A1739" w:rsidRDefault="002047EF" w:rsidP="00212C5E">
            <w:pPr>
              <w:pStyle w:val="Sinespaciado"/>
              <w:spacing w:line="276" w:lineRule="auto"/>
              <w:jc w:val="both"/>
              <w:rPr>
                <w:rFonts w:ascii="Arial" w:hAnsi="Arial" w:cs="Arial"/>
              </w:rPr>
            </w:pPr>
          </w:p>
          <w:p w:rsidR="002047EF" w:rsidRPr="002A1739" w:rsidRDefault="002047EF" w:rsidP="00212C5E">
            <w:pPr>
              <w:pStyle w:val="Sinespaciado"/>
              <w:spacing w:line="276" w:lineRule="auto"/>
              <w:jc w:val="both"/>
              <w:rPr>
                <w:rFonts w:ascii="Arial" w:hAnsi="Arial" w:cs="Arial"/>
              </w:rPr>
            </w:pPr>
          </w:p>
        </w:tc>
        <w:tc>
          <w:tcPr>
            <w:tcW w:w="4158" w:type="dxa"/>
            <w:shd w:val="clear" w:color="auto" w:fill="auto"/>
          </w:tcPr>
          <w:p w:rsidR="002047EF" w:rsidRPr="002A1739" w:rsidRDefault="002047EF" w:rsidP="00212C5E">
            <w:pPr>
              <w:jc w:val="both"/>
              <w:rPr>
                <w:rFonts w:ascii="Arial" w:hAnsi="Arial" w:cs="Arial"/>
              </w:rPr>
            </w:pPr>
            <w:r w:rsidRPr="002A1739">
              <w:rPr>
                <w:rFonts w:ascii="Arial" w:hAnsi="Arial" w:cs="Arial"/>
              </w:rPr>
              <w:t>Número de Convenios de participación entre los municipios y la gobernación del Valle del Cauca para el fomento de las dinámicas laborales.</w:t>
            </w:r>
          </w:p>
        </w:tc>
      </w:tr>
      <w:tr w:rsidR="002047EF" w:rsidRPr="002A1739" w:rsidTr="00D9744C">
        <w:trPr>
          <w:trHeight w:val="1266"/>
        </w:trPr>
        <w:tc>
          <w:tcPr>
            <w:tcW w:w="4448" w:type="dxa"/>
            <w:shd w:val="clear" w:color="auto" w:fill="auto"/>
          </w:tcPr>
          <w:p w:rsidR="002047EF" w:rsidRPr="00A00E42" w:rsidRDefault="002047EF" w:rsidP="00212C5E">
            <w:pPr>
              <w:jc w:val="both"/>
              <w:rPr>
                <w:rFonts w:ascii="Arial" w:hAnsi="Arial" w:cs="Arial"/>
              </w:rPr>
            </w:pPr>
            <w:r w:rsidRPr="002A1739">
              <w:rPr>
                <w:rFonts w:ascii="Arial" w:hAnsi="Arial" w:cs="Arial"/>
              </w:rPr>
              <w:t>Implementar a nivel territorial las políticas activas de empleo ofrecidas por el Ministerio del Trabajo en su oferta institucional.</w:t>
            </w:r>
          </w:p>
        </w:tc>
        <w:tc>
          <w:tcPr>
            <w:tcW w:w="4158" w:type="dxa"/>
            <w:shd w:val="clear" w:color="auto" w:fill="auto"/>
          </w:tcPr>
          <w:p w:rsidR="002047EF" w:rsidRPr="00A00E42" w:rsidRDefault="002047EF" w:rsidP="00212C5E">
            <w:pPr>
              <w:jc w:val="both"/>
              <w:rPr>
                <w:rFonts w:ascii="Arial" w:hAnsi="Arial" w:cs="Arial"/>
              </w:rPr>
            </w:pPr>
            <w:r w:rsidRPr="002A1739">
              <w:rPr>
                <w:rFonts w:ascii="Arial" w:hAnsi="Arial" w:cs="Arial"/>
              </w:rPr>
              <w:t>Política activa de empleo ofrecida por el Ministerio del Trabajo en su oferta institucional implementada en el departamento.</w:t>
            </w:r>
          </w:p>
        </w:tc>
      </w:tr>
      <w:tr w:rsidR="002047EF" w:rsidRPr="002A1739" w:rsidTr="00D9744C">
        <w:tc>
          <w:tcPr>
            <w:tcW w:w="8606" w:type="dxa"/>
            <w:gridSpan w:val="2"/>
            <w:shd w:val="clear" w:color="auto" w:fill="auto"/>
          </w:tcPr>
          <w:p w:rsidR="002047EF" w:rsidRPr="001C2BF2" w:rsidRDefault="002047EF" w:rsidP="00212C5E">
            <w:pPr>
              <w:pStyle w:val="Ttulo3"/>
              <w:ind w:left="720" w:hanging="720"/>
              <w:outlineLvl w:val="2"/>
              <w:rPr>
                <w:rFonts w:ascii="Arial" w:hAnsi="Arial" w:cs="Arial"/>
                <w:color w:val="C00000"/>
              </w:rPr>
            </w:pPr>
            <w:bookmarkStart w:id="194" w:name="_Toc386117155"/>
            <w:bookmarkStart w:id="195" w:name="_Toc386469022"/>
            <w:bookmarkStart w:id="196" w:name="_Toc389666644"/>
            <w:r w:rsidRPr="00A00E42">
              <w:rPr>
                <w:rFonts w:ascii="Arial" w:hAnsi="Arial" w:cs="Arial"/>
                <w:color w:val="C00000"/>
              </w:rPr>
              <w:t>6.3.2 Metas de producto</w:t>
            </w:r>
            <w:bookmarkEnd w:id="194"/>
            <w:bookmarkEnd w:id="195"/>
            <w:bookmarkEnd w:id="196"/>
          </w:p>
          <w:p w:rsidR="002047EF" w:rsidRPr="001C2BF2" w:rsidRDefault="002047EF" w:rsidP="00212C5E">
            <w:pPr>
              <w:pStyle w:val="Ttulo3"/>
              <w:ind w:left="720" w:hanging="720"/>
              <w:outlineLvl w:val="2"/>
              <w:rPr>
                <w:rFonts w:ascii="Arial" w:hAnsi="Arial" w:cs="Arial"/>
                <w:b w:val="0"/>
                <w:color w:val="C00000"/>
              </w:rPr>
            </w:pPr>
          </w:p>
        </w:tc>
      </w:tr>
      <w:tr w:rsidR="000B1EC6" w:rsidRPr="002A1739" w:rsidTr="00D9744C">
        <w:trPr>
          <w:trHeight w:val="2961"/>
        </w:trPr>
        <w:tc>
          <w:tcPr>
            <w:tcW w:w="4448" w:type="dxa"/>
            <w:shd w:val="clear" w:color="auto" w:fill="auto"/>
          </w:tcPr>
          <w:p w:rsidR="000B1EC6" w:rsidRPr="00A00E42" w:rsidRDefault="000B1EC6" w:rsidP="000B1EC6">
            <w:pPr>
              <w:jc w:val="both"/>
              <w:rPr>
                <w:rFonts w:ascii="Arial" w:hAnsi="Arial" w:cs="Arial"/>
              </w:rPr>
            </w:pPr>
            <w:r>
              <w:rPr>
                <w:rFonts w:ascii="Arial" w:hAnsi="Arial" w:cs="Arial"/>
              </w:rPr>
              <w:t xml:space="preserve">Construir una </w:t>
            </w:r>
            <w:r w:rsidRPr="00C42CF8">
              <w:rPr>
                <w:rFonts w:ascii="Arial" w:hAnsi="Arial" w:cs="Arial"/>
              </w:rPr>
              <w:t>línea base que permita conocer la relación entre la oferta y la demanda laboral en los municipios del departamento de</w:t>
            </w:r>
            <w:r>
              <w:rPr>
                <w:rFonts w:ascii="Arial" w:hAnsi="Arial" w:cs="Arial"/>
              </w:rPr>
              <w:t xml:space="preserve"> Bolívar, sus perfiles laborales requeridos de acuerdo con las </w:t>
            </w:r>
            <w:proofErr w:type="spellStart"/>
            <w:r w:rsidRPr="00C42CF8">
              <w:rPr>
                <w:rFonts w:ascii="Arial" w:hAnsi="Arial" w:cs="Arial"/>
              </w:rPr>
              <w:t>las</w:t>
            </w:r>
            <w:proofErr w:type="spellEnd"/>
            <w:r w:rsidRPr="00C42CF8">
              <w:rPr>
                <w:rFonts w:ascii="Arial" w:hAnsi="Arial" w:cs="Arial"/>
              </w:rPr>
              <w:t xml:space="preserve"> necesidades de las empresas existentes</w:t>
            </w:r>
            <w:r>
              <w:rPr>
                <w:rFonts w:ascii="Arial" w:hAnsi="Arial" w:cs="Arial"/>
              </w:rPr>
              <w:t>.</w:t>
            </w:r>
            <w:r w:rsidRPr="00C42CF8">
              <w:rPr>
                <w:rFonts w:ascii="Arial" w:hAnsi="Arial" w:cs="Arial"/>
              </w:rPr>
              <w:t xml:space="preserve"> </w:t>
            </w:r>
          </w:p>
        </w:tc>
        <w:tc>
          <w:tcPr>
            <w:tcW w:w="4158" w:type="dxa"/>
            <w:shd w:val="clear" w:color="auto" w:fill="auto"/>
          </w:tcPr>
          <w:p w:rsidR="000B1EC6" w:rsidRDefault="000B1EC6" w:rsidP="000B1EC6">
            <w:pPr>
              <w:jc w:val="both"/>
              <w:rPr>
                <w:rFonts w:ascii="Arial" w:hAnsi="Arial" w:cs="Arial"/>
              </w:rPr>
            </w:pPr>
            <w:r w:rsidRPr="001F348B">
              <w:rPr>
                <w:rFonts w:ascii="Arial" w:hAnsi="Arial" w:cs="Arial"/>
              </w:rPr>
              <w:t>Línea de base construida</w:t>
            </w:r>
            <w:r>
              <w:rPr>
                <w:rFonts w:ascii="Arial" w:hAnsi="Arial" w:cs="Arial"/>
              </w:rPr>
              <w:t xml:space="preserve"> que contenga datos cuantitativos y cualitativos sobre el funcionamiento del mercado laboral en el departamento.</w:t>
            </w:r>
          </w:p>
          <w:p w:rsidR="000B1EC6" w:rsidRPr="001C2BF2" w:rsidRDefault="000B1EC6" w:rsidP="00212C5E">
            <w:pPr>
              <w:pStyle w:val="Sinespaciado"/>
              <w:spacing w:line="276" w:lineRule="auto"/>
              <w:jc w:val="both"/>
              <w:rPr>
                <w:rFonts w:ascii="Arial" w:hAnsi="Arial" w:cs="Arial"/>
              </w:rPr>
            </w:pPr>
          </w:p>
        </w:tc>
      </w:tr>
      <w:tr w:rsidR="000B1EC6" w:rsidRPr="002A1739" w:rsidTr="000E62F2">
        <w:trPr>
          <w:trHeight w:val="2048"/>
        </w:trPr>
        <w:tc>
          <w:tcPr>
            <w:tcW w:w="4448" w:type="dxa"/>
            <w:shd w:val="clear" w:color="auto" w:fill="auto"/>
          </w:tcPr>
          <w:p w:rsidR="000B1EC6" w:rsidRPr="000C4E2E" w:rsidRDefault="000C4E2E" w:rsidP="00E25C7B">
            <w:pPr>
              <w:pStyle w:val="Default"/>
              <w:spacing w:line="276" w:lineRule="auto"/>
              <w:jc w:val="both"/>
            </w:pPr>
            <w:r w:rsidRPr="00BE0EF3">
              <w:rPr>
                <w:sz w:val="22"/>
                <w:szCs w:val="22"/>
              </w:rPr>
              <w:t xml:space="preserve">Fomentar y fortalecer programas enfocados en población desplazada, </w:t>
            </w:r>
            <w:r>
              <w:rPr>
                <w:sz w:val="22"/>
                <w:szCs w:val="22"/>
              </w:rPr>
              <w:t>jóvenes y trabajadores del sector informal.</w:t>
            </w:r>
          </w:p>
        </w:tc>
        <w:tc>
          <w:tcPr>
            <w:tcW w:w="4158" w:type="dxa"/>
            <w:shd w:val="clear" w:color="auto" w:fill="auto"/>
          </w:tcPr>
          <w:p w:rsidR="000C4E2E" w:rsidRPr="00BE0EF3" w:rsidRDefault="000C4E2E" w:rsidP="000C4E2E">
            <w:pPr>
              <w:pStyle w:val="Sinespaciado"/>
              <w:spacing w:line="276" w:lineRule="auto"/>
              <w:jc w:val="both"/>
              <w:rPr>
                <w:rFonts w:ascii="Arial" w:hAnsi="Arial" w:cs="Arial"/>
              </w:rPr>
            </w:pPr>
            <w:r w:rsidRPr="00BE0EF3">
              <w:rPr>
                <w:rFonts w:ascii="Arial" w:hAnsi="Arial" w:cs="Arial"/>
              </w:rPr>
              <w:t>Número de programas existentes y nuevos programas según grupos objetivo.</w:t>
            </w:r>
          </w:p>
          <w:p w:rsidR="000C4E2E" w:rsidRPr="00BE0EF3" w:rsidRDefault="000C4E2E" w:rsidP="000C4E2E">
            <w:pPr>
              <w:pStyle w:val="Sinespaciado"/>
              <w:spacing w:line="276" w:lineRule="auto"/>
              <w:jc w:val="both"/>
              <w:rPr>
                <w:rFonts w:ascii="Arial" w:hAnsi="Arial" w:cs="Arial"/>
              </w:rPr>
            </w:pPr>
          </w:p>
          <w:p w:rsidR="000B1EC6" w:rsidRPr="001C2BF2" w:rsidRDefault="000C4E2E" w:rsidP="000C4E2E">
            <w:pPr>
              <w:pStyle w:val="Sinespaciado"/>
              <w:spacing w:line="276" w:lineRule="auto"/>
              <w:jc w:val="both"/>
              <w:rPr>
                <w:rFonts w:ascii="Arial" w:hAnsi="Arial" w:cs="Arial"/>
              </w:rPr>
            </w:pPr>
            <w:r w:rsidRPr="00BE0EF3">
              <w:rPr>
                <w:rFonts w:ascii="Arial" w:hAnsi="Arial" w:cs="Arial"/>
              </w:rPr>
              <w:t>Montos de recursos asignados a cada uno de los programas focalizados.</w:t>
            </w:r>
          </w:p>
        </w:tc>
      </w:tr>
      <w:tr w:rsidR="000B1EC6" w:rsidRPr="002A1739" w:rsidTr="00D9744C">
        <w:trPr>
          <w:trHeight w:val="583"/>
        </w:trPr>
        <w:tc>
          <w:tcPr>
            <w:tcW w:w="4448" w:type="dxa"/>
            <w:shd w:val="clear" w:color="auto" w:fill="auto"/>
          </w:tcPr>
          <w:p w:rsidR="000C4E2E" w:rsidRPr="00BE0EF3" w:rsidRDefault="000C4E2E" w:rsidP="000C4E2E">
            <w:pPr>
              <w:pStyle w:val="Sinespaciado"/>
              <w:spacing w:after="200" w:line="276" w:lineRule="auto"/>
              <w:jc w:val="both"/>
              <w:rPr>
                <w:rFonts w:ascii="Arial" w:hAnsi="Arial" w:cs="Arial"/>
              </w:rPr>
            </w:pPr>
            <w:r w:rsidRPr="00BE0EF3">
              <w:rPr>
                <w:rFonts w:ascii="Arial" w:hAnsi="Arial" w:cs="Arial"/>
              </w:rPr>
              <w:t xml:space="preserve">Impulsar programas de fomento de la inversión y el desarrollo de infraestructura tecnológica, logística y comercial para fortalecer el contexto empresarial y los sectores económicos estratégicos en la </w:t>
            </w:r>
            <w:r>
              <w:rPr>
                <w:rFonts w:ascii="Arial" w:hAnsi="Arial" w:cs="Arial"/>
              </w:rPr>
              <w:t>generación de empleo en Bolívar.</w:t>
            </w:r>
          </w:p>
          <w:p w:rsidR="000B1EC6" w:rsidRPr="00A00E42" w:rsidRDefault="000B1EC6" w:rsidP="00212C5E">
            <w:pPr>
              <w:pStyle w:val="Sinespaciado"/>
              <w:spacing w:after="200" w:line="276" w:lineRule="auto"/>
              <w:ind w:left="357"/>
              <w:jc w:val="both"/>
              <w:rPr>
                <w:rFonts w:ascii="Arial" w:hAnsi="Arial" w:cs="Arial"/>
              </w:rPr>
            </w:pPr>
          </w:p>
        </w:tc>
        <w:tc>
          <w:tcPr>
            <w:tcW w:w="4158" w:type="dxa"/>
            <w:shd w:val="clear" w:color="auto" w:fill="auto"/>
          </w:tcPr>
          <w:p w:rsidR="000B1EC6" w:rsidRPr="001C2BF2" w:rsidRDefault="000C4E2E" w:rsidP="00212C5E">
            <w:pPr>
              <w:pStyle w:val="Sinespaciado"/>
              <w:spacing w:line="276" w:lineRule="auto"/>
              <w:jc w:val="both"/>
              <w:rPr>
                <w:rFonts w:ascii="Arial" w:hAnsi="Arial" w:cs="Arial"/>
              </w:rPr>
            </w:pPr>
            <w:r w:rsidRPr="00BE0EF3">
              <w:rPr>
                <w:rFonts w:ascii="Arial" w:hAnsi="Arial" w:cs="Arial"/>
              </w:rPr>
              <w:lastRenderedPageBreak/>
              <w:t>Programas de fomento creados</w:t>
            </w:r>
            <w:r w:rsidR="00226B7D">
              <w:rPr>
                <w:rFonts w:ascii="Arial" w:hAnsi="Arial" w:cs="Arial"/>
              </w:rPr>
              <w:t xml:space="preserve"> en el departamento.</w:t>
            </w:r>
          </w:p>
        </w:tc>
      </w:tr>
      <w:tr w:rsidR="001F348B" w:rsidRPr="00BE0EF3" w:rsidTr="00E25C7B">
        <w:trPr>
          <w:trHeight w:val="1495"/>
        </w:trPr>
        <w:tc>
          <w:tcPr>
            <w:tcW w:w="4448" w:type="dxa"/>
          </w:tcPr>
          <w:p w:rsidR="001F348B" w:rsidRDefault="001F348B" w:rsidP="001F348B">
            <w:pPr>
              <w:pStyle w:val="Sinespaciado"/>
              <w:spacing w:after="200" w:line="276" w:lineRule="auto"/>
              <w:jc w:val="both"/>
              <w:rPr>
                <w:rFonts w:ascii="Arial" w:hAnsi="Arial" w:cs="Arial"/>
              </w:rPr>
            </w:pPr>
            <w:r w:rsidRPr="00BE0EF3">
              <w:rPr>
                <w:rFonts w:ascii="Arial" w:hAnsi="Arial" w:cs="Arial"/>
              </w:rPr>
              <w:lastRenderedPageBreak/>
              <w:t xml:space="preserve">Identificar con precisión los principales perfiles laborales que demandan los sectores económicos del  </w:t>
            </w:r>
            <w:proofErr w:type="spellStart"/>
            <w:r w:rsidRPr="00BE0EF3">
              <w:rPr>
                <w:rFonts w:ascii="Arial" w:hAnsi="Arial" w:cs="Arial"/>
              </w:rPr>
              <w:t>del</w:t>
            </w:r>
            <w:proofErr w:type="spellEnd"/>
            <w:r w:rsidRPr="00BE0EF3">
              <w:rPr>
                <w:rFonts w:ascii="Arial" w:hAnsi="Arial" w:cs="Arial"/>
              </w:rPr>
              <w:t xml:space="preserve"> departamento</w:t>
            </w:r>
            <w:r>
              <w:rPr>
                <w:rFonts w:ascii="Arial" w:hAnsi="Arial" w:cs="Arial"/>
              </w:rPr>
              <w:t>.</w:t>
            </w:r>
          </w:p>
          <w:p w:rsidR="001F348B" w:rsidRPr="00BE0EF3" w:rsidRDefault="001F348B" w:rsidP="001F348B">
            <w:pPr>
              <w:pStyle w:val="Sinespaciado"/>
              <w:spacing w:after="200" w:line="276" w:lineRule="auto"/>
              <w:jc w:val="both"/>
              <w:rPr>
                <w:rFonts w:ascii="Arial" w:hAnsi="Arial" w:cs="Arial"/>
              </w:rPr>
            </w:pPr>
            <w:r w:rsidRPr="00BE0EF3">
              <w:rPr>
                <w:rFonts w:ascii="Arial" w:hAnsi="Arial" w:cs="Arial"/>
              </w:rPr>
              <w:t xml:space="preserve"> </w:t>
            </w:r>
          </w:p>
        </w:tc>
        <w:tc>
          <w:tcPr>
            <w:tcW w:w="4158" w:type="dxa"/>
          </w:tcPr>
          <w:p w:rsidR="001F348B" w:rsidRPr="00BE0EF3" w:rsidRDefault="001F348B" w:rsidP="00E25C7B">
            <w:pPr>
              <w:pStyle w:val="Sinespaciado"/>
              <w:spacing w:line="276" w:lineRule="auto"/>
              <w:jc w:val="both"/>
              <w:rPr>
                <w:rFonts w:ascii="Arial" w:hAnsi="Arial" w:cs="Arial"/>
              </w:rPr>
            </w:pPr>
            <w:r w:rsidRPr="00BE0EF3">
              <w:rPr>
                <w:rFonts w:ascii="Arial" w:hAnsi="Arial" w:cs="Arial"/>
              </w:rPr>
              <w:t>Número y descripción de las empresas de los sectores económicos que operan en el departamento.</w:t>
            </w:r>
          </w:p>
          <w:p w:rsidR="001F348B" w:rsidRPr="00BE0EF3" w:rsidRDefault="001F348B" w:rsidP="00E25C7B">
            <w:pPr>
              <w:pStyle w:val="Sinespaciado"/>
              <w:spacing w:line="276" w:lineRule="auto"/>
              <w:jc w:val="both"/>
              <w:rPr>
                <w:rFonts w:ascii="Arial" w:hAnsi="Arial" w:cs="Arial"/>
              </w:rPr>
            </w:pPr>
          </w:p>
          <w:p w:rsidR="001F348B" w:rsidRPr="00BE0EF3" w:rsidRDefault="001F348B" w:rsidP="00E25C7B">
            <w:pPr>
              <w:pStyle w:val="Sinespaciado"/>
              <w:spacing w:line="276" w:lineRule="auto"/>
              <w:jc w:val="both"/>
              <w:rPr>
                <w:rFonts w:ascii="Arial" w:hAnsi="Arial" w:cs="Arial"/>
              </w:rPr>
            </w:pPr>
            <w:r w:rsidRPr="00BE0EF3">
              <w:rPr>
                <w:rFonts w:ascii="Arial" w:hAnsi="Arial" w:cs="Arial"/>
              </w:rPr>
              <w:t xml:space="preserve">Caracterización cuantitativa y cualitativa de </w:t>
            </w:r>
            <w:r w:rsidRPr="002F19D8">
              <w:rPr>
                <w:rFonts w:ascii="Arial" w:hAnsi="Arial" w:cs="Arial"/>
              </w:rPr>
              <w:t>perfiles técnicos, tecnológicos, profesionales por sectores.</w:t>
            </w:r>
          </w:p>
        </w:tc>
      </w:tr>
      <w:tr w:rsidR="000B1EC6" w:rsidRPr="002A1739" w:rsidTr="00D9744C">
        <w:trPr>
          <w:trHeight w:val="1495"/>
        </w:trPr>
        <w:tc>
          <w:tcPr>
            <w:tcW w:w="4448" w:type="dxa"/>
            <w:shd w:val="clear" w:color="auto" w:fill="auto"/>
          </w:tcPr>
          <w:p w:rsidR="000B1EC6" w:rsidRPr="00A00E42" w:rsidRDefault="00831101" w:rsidP="001F348B">
            <w:pPr>
              <w:pStyle w:val="Sinespaciado"/>
              <w:spacing w:after="200" w:line="276" w:lineRule="auto"/>
              <w:jc w:val="both"/>
              <w:rPr>
                <w:rFonts w:ascii="Arial" w:hAnsi="Arial" w:cs="Arial"/>
              </w:rPr>
            </w:pPr>
            <w:r>
              <w:rPr>
                <w:rFonts w:ascii="Arial" w:hAnsi="Arial" w:cs="Arial"/>
              </w:rPr>
              <w:t xml:space="preserve">Impulsar programas de capacitación técnica y tecnológica de acuerdo con las demandas específicas de la región.  </w:t>
            </w:r>
          </w:p>
        </w:tc>
        <w:tc>
          <w:tcPr>
            <w:tcW w:w="4158" w:type="dxa"/>
            <w:shd w:val="clear" w:color="auto" w:fill="auto"/>
          </w:tcPr>
          <w:p w:rsidR="000B1EC6" w:rsidRDefault="00831101" w:rsidP="00212C5E">
            <w:pPr>
              <w:pStyle w:val="Sinespaciado"/>
              <w:spacing w:line="276" w:lineRule="auto"/>
              <w:jc w:val="both"/>
              <w:rPr>
                <w:rFonts w:ascii="Arial" w:hAnsi="Arial" w:cs="Arial"/>
              </w:rPr>
            </w:pPr>
            <w:r>
              <w:rPr>
                <w:rFonts w:ascii="Arial" w:hAnsi="Arial" w:cs="Arial"/>
              </w:rPr>
              <w:t>Número de cursos ofrecidos en capacitación técnica y tecnológica</w:t>
            </w:r>
          </w:p>
          <w:p w:rsidR="00831101" w:rsidRDefault="00831101" w:rsidP="00212C5E">
            <w:pPr>
              <w:pStyle w:val="Sinespaciado"/>
              <w:spacing w:line="276" w:lineRule="auto"/>
              <w:jc w:val="both"/>
              <w:rPr>
                <w:rFonts w:ascii="Arial" w:hAnsi="Arial" w:cs="Arial"/>
              </w:rPr>
            </w:pPr>
          </w:p>
          <w:p w:rsidR="00831101" w:rsidRPr="001C2BF2" w:rsidRDefault="00831101" w:rsidP="00212C5E">
            <w:pPr>
              <w:pStyle w:val="Sinespaciado"/>
              <w:spacing w:line="276" w:lineRule="auto"/>
              <w:jc w:val="both"/>
              <w:rPr>
                <w:rFonts w:ascii="Arial" w:hAnsi="Arial" w:cs="Arial"/>
              </w:rPr>
            </w:pPr>
            <w:r>
              <w:rPr>
                <w:rFonts w:ascii="Arial" w:hAnsi="Arial" w:cs="Arial"/>
              </w:rPr>
              <w:t>Número de empleos generados por sectores con perfiles técnicos y tecnológicos específicos</w:t>
            </w:r>
          </w:p>
        </w:tc>
      </w:tr>
      <w:tr w:rsidR="000B1EC6" w:rsidRPr="002A1739" w:rsidTr="000E62F2">
        <w:trPr>
          <w:trHeight w:val="1266"/>
        </w:trPr>
        <w:tc>
          <w:tcPr>
            <w:tcW w:w="4448" w:type="dxa"/>
            <w:shd w:val="clear" w:color="auto" w:fill="auto"/>
          </w:tcPr>
          <w:p w:rsidR="000B1EC6" w:rsidRPr="00A00E42" w:rsidRDefault="00831101" w:rsidP="001F348B">
            <w:pPr>
              <w:pStyle w:val="Sinespaciado"/>
              <w:spacing w:after="200" w:line="276" w:lineRule="auto"/>
              <w:jc w:val="both"/>
              <w:rPr>
                <w:rFonts w:ascii="Arial" w:hAnsi="Arial" w:cs="Arial"/>
              </w:rPr>
            </w:pPr>
            <w:r>
              <w:rPr>
                <w:rFonts w:ascii="Arial" w:hAnsi="Arial" w:cs="Arial"/>
              </w:rPr>
              <w:t>Diseñar un mecanismo de arbitramiento de las instituciones privadas dedicadas a la intermediación laboral para garantizar su eficacia.</w:t>
            </w:r>
          </w:p>
        </w:tc>
        <w:tc>
          <w:tcPr>
            <w:tcW w:w="4158" w:type="dxa"/>
            <w:shd w:val="clear" w:color="auto" w:fill="auto"/>
          </w:tcPr>
          <w:p w:rsidR="000B1EC6" w:rsidRPr="001C2BF2" w:rsidRDefault="00831101" w:rsidP="00212C5E">
            <w:pPr>
              <w:pStyle w:val="Sinespaciado"/>
              <w:spacing w:line="276" w:lineRule="auto"/>
              <w:jc w:val="both"/>
              <w:rPr>
                <w:rFonts w:ascii="Arial" w:hAnsi="Arial" w:cs="Arial"/>
              </w:rPr>
            </w:pPr>
            <w:r>
              <w:rPr>
                <w:rFonts w:ascii="Arial" w:hAnsi="Arial" w:cs="Arial"/>
              </w:rPr>
              <w:t>Oficina de arbitramiento departamental creada.</w:t>
            </w:r>
          </w:p>
        </w:tc>
      </w:tr>
    </w:tbl>
    <w:p w:rsidR="002047EF" w:rsidRDefault="002047EF" w:rsidP="002047EF">
      <w:pPr>
        <w:autoSpaceDE w:val="0"/>
        <w:autoSpaceDN w:val="0"/>
        <w:adjustRightInd w:val="0"/>
        <w:spacing w:line="276" w:lineRule="auto"/>
        <w:jc w:val="both"/>
        <w:rPr>
          <w:rFonts w:ascii="Arial" w:hAnsi="Arial" w:cs="Arial"/>
          <w:b/>
          <w:i/>
          <w:color w:val="C0504D" w:themeColor="accent2"/>
          <w:sz w:val="18"/>
        </w:rPr>
      </w:pPr>
    </w:p>
    <w:p w:rsidR="002047EF" w:rsidRDefault="002047EF" w:rsidP="002047EF">
      <w:pPr>
        <w:autoSpaceDE w:val="0"/>
        <w:autoSpaceDN w:val="0"/>
        <w:adjustRightInd w:val="0"/>
        <w:spacing w:line="276" w:lineRule="auto"/>
        <w:jc w:val="both"/>
        <w:rPr>
          <w:rFonts w:ascii="Arial" w:hAnsi="Arial" w:cs="Arial"/>
          <w:b/>
          <w:i/>
          <w:color w:val="C0504D" w:themeColor="accent2"/>
          <w:sz w:val="18"/>
        </w:rPr>
      </w:pPr>
    </w:p>
    <w:p w:rsidR="002047EF" w:rsidRPr="00C11409" w:rsidRDefault="002047EF" w:rsidP="002047EF">
      <w:pPr>
        <w:autoSpaceDE w:val="0"/>
        <w:autoSpaceDN w:val="0"/>
        <w:adjustRightInd w:val="0"/>
        <w:spacing w:line="276" w:lineRule="auto"/>
        <w:jc w:val="both"/>
        <w:rPr>
          <w:rFonts w:ascii="Arial" w:hAnsi="Arial" w:cs="Arial"/>
        </w:rPr>
      </w:pPr>
      <w:r w:rsidRPr="00C11409">
        <w:rPr>
          <w:rFonts w:ascii="Arial" w:hAnsi="Arial" w:cs="Arial"/>
        </w:rPr>
        <w:t xml:space="preserve">Finalmente, en este apartado se resumen algunos subprogramas que provienen del </w:t>
      </w:r>
      <w:r w:rsidRPr="008E16F9">
        <w:rPr>
          <w:rFonts w:ascii="Arial" w:hAnsi="Arial" w:cs="Arial"/>
        </w:rPr>
        <w:t xml:space="preserve">Plan de Desarrollo de </w:t>
      </w:r>
      <w:r w:rsidR="001B0468" w:rsidRPr="008E16F9">
        <w:rPr>
          <w:rFonts w:ascii="Arial" w:hAnsi="Arial" w:cs="Arial"/>
        </w:rPr>
        <w:t>Bolívar</w:t>
      </w:r>
      <w:r w:rsidRPr="008E16F9">
        <w:rPr>
          <w:rFonts w:ascii="Arial" w:hAnsi="Arial" w:cs="Arial"/>
        </w:rPr>
        <w:t xml:space="preserve"> 2012-2015 “</w:t>
      </w:r>
      <w:r w:rsidR="001B0468" w:rsidRPr="00C11409">
        <w:rPr>
          <w:rFonts w:ascii="Arial" w:hAnsi="Arial" w:cs="Arial"/>
          <w:i/>
        </w:rPr>
        <w:t>Bolívar</w:t>
      </w:r>
      <w:r w:rsidRPr="00C11409">
        <w:rPr>
          <w:rFonts w:ascii="Arial" w:hAnsi="Arial" w:cs="Arial"/>
          <w:i/>
        </w:rPr>
        <w:t xml:space="preserve"> Ganador</w:t>
      </w:r>
      <w:r w:rsidRPr="00C11409">
        <w:rPr>
          <w:rFonts w:ascii="Arial" w:hAnsi="Arial" w:cs="Arial"/>
        </w:rPr>
        <w:t>” y que se dirigen en la misma dirección de los objetivos trazados en este plan, así como en sus metas.</w:t>
      </w:r>
    </w:p>
    <w:p w:rsidR="002047EF" w:rsidRPr="00C11409" w:rsidRDefault="002047EF" w:rsidP="002047EF">
      <w:pPr>
        <w:autoSpaceDE w:val="0"/>
        <w:autoSpaceDN w:val="0"/>
        <w:adjustRightInd w:val="0"/>
        <w:spacing w:line="276" w:lineRule="auto"/>
        <w:jc w:val="both"/>
        <w:rPr>
          <w:rFonts w:ascii="Arial" w:hAnsi="Arial" w:cs="Arial"/>
        </w:rPr>
      </w:pPr>
    </w:p>
    <w:p w:rsidR="007646BC" w:rsidRDefault="007646BC">
      <w:pPr>
        <w:spacing w:after="200" w:line="276" w:lineRule="auto"/>
        <w:rPr>
          <w:rFonts w:ascii="Arial" w:hAnsi="Arial" w:cs="Arial"/>
          <w:color w:val="C0504D" w:themeColor="accent2"/>
          <w:sz w:val="18"/>
        </w:rPr>
      </w:pPr>
      <w:r>
        <w:rPr>
          <w:rFonts w:ascii="Arial" w:hAnsi="Arial" w:cs="Arial"/>
          <w:color w:val="C0504D" w:themeColor="accent2"/>
          <w:sz w:val="18"/>
        </w:rPr>
        <w:br w:type="page"/>
      </w:r>
    </w:p>
    <w:p w:rsidR="00C24023" w:rsidRDefault="00C24023" w:rsidP="002047EF">
      <w:pPr>
        <w:autoSpaceDE w:val="0"/>
        <w:autoSpaceDN w:val="0"/>
        <w:adjustRightInd w:val="0"/>
        <w:spacing w:line="276" w:lineRule="auto"/>
        <w:jc w:val="both"/>
        <w:rPr>
          <w:rFonts w:ascii="Arial" w:hAnsi="Arial" w:cs="Arial"/>
          <w:color w:val="C0504D" w:themeColor="accent2"/>
          <w:sz w:val="18"/>
        </w:rPr>
        <w:sectPr w:rsidR="00C24023" w:rsidSect="002D45BF">
          <w:pgSz w:w="11900" w:h="16840"/>
          <w:pgMar w:top="1418" w:right="1701" w:bottom="1418" w:left="1701" w:header="709" w:footer="709" w:gutter="0"/>
          <w:cols w:space="708"/>
        </w:sectPr>
      </w:pPr>
    </w:p>
    <w:p w:rsidR="002047EF" w:rsidRDefault="002047EF" w:rsidP="002047EF">
      <w:pPr>
        <w:autoSpaceDE w:val="0"/>
        <w:autoSpaceDN w:val="0"/>
        <w:adjustRightInd w:val="0"/>
        <w:spacing w:line="276" w:lineRule="auto"/>
        <w:jc w:val="both"/>
        <w:rPr>
          <w:rFonts w:ascii="Arial" w:hAnsi="Arial" w:cs="Arial"/>
          <w:color w:val="C0504D" w:themeColor="accent2"/>
          <w:sz w:val="18"/>
        </w:rPr>
      </w:pPr>
    </w:p>
    <w:p w:rsidR="002047EF" w:rsidRPr="00E154EB" w:rsidRDefault="002047EF" w:rsidP="00E154EB">
      <w:pPr>
        <w:pStyle w:val="Epgrafe"/>
        <w:keepNext/>
        <w:jc w:val="center"/>
        <w:rPr>
          <w:rFonts w:ascii="Arial" w:hAnsi="Arial" w:cs="Arial"/>
          <w:color w:val="auto"/>
          <w:sz w:val="22"/>
          <w:szCs w:val="22"/>
        </w:rPr>
      </w:pPr>
      <w:bookmarkStart w:id="197" w:name="_Toc389667028"/>
      <w:r w:rsidRPr="00E154EB">
        <w:rPr>
          <w:rFonts w:ascii="Arial" w:hAnsi="Arial" w:cs="Arial"/>
          <w:color w:val="auto"/>
          <w:sz w:val="22"/>
          <w:szCs w:val="22"/>
        </w:rPr>
        <w:t xml:space="preserve">Tabla </w:t>
      </w:r>
      <w:r w:rsidRPr="00E154EB">
        <w:rPr>
          <w:rFonts w:ascii="Arial" w:hAnsi="Arial" w:cs="Arial"/>
          <w:color w:val="auto"/>
          <w:sz w:val="22"/>
          <w:szCs w:val="22"/>
        </w:rPr>
        <w:fldChar w:fldCharType="begin"/>
      </w:r>
      <w:r w:rsidRPr="00E154EB">
        <w:rPr>
          <w:rFonts w:ascii="Arial" w:hAnsi="Arial" w:cs="Arial"/>
          <w:color w:val="auto"/>
          <w:sz w:val="22"/>
          <w:szCs w:val="22"/>
        </w:rPr>
        <w:instrText xml:space="preserve"> SEQ Tabla \* ARABIC </w:instrText>
      </w:r>
      <w:r w:rsidRPr="00E154EB">
        <w:rPr>
          <w:rFonts w:ascii="Arial" w:hAnsi="Arial" w:cs="Arial"/>
          <w:color w:val="auto"/>
          <w:sz w:val="22"/>
          <w:szCs w:val="22"/>
        </w:rPr>
        <w:fldChar w:fldCharType="separate"/>
      </w:r>
      <w:r w:rsidR="00D9744C">
        <w:rPr>
          <w:rFonts w:ascii="Arial" w:hAnsi="Arial" w:cs="Arial"/>
          <w:noProof/>
          <w:color w:val="auto"/>
          <w:sz w:val="22"/>
          <w:szCs w:val="22"/>
        </w:rPr>
        <w:t>15</w:t>
      </w:r>
      <w:r w:rsidRPr="00E154EB">
        <w:rPr>
          <w:rFonts w:ascii="Arial" w:hAnsi="Arial" w:cs="Arial"/>
          <w:noProof/>
          <w:color w:val="auto"/>
          <w:sz w:val="22"/>
          <w:szCs w:val="22"/>
        </w:rPr>
        <w:fldChar w:fldCharType="end"/>
      </w:r>
      <w:r w:rsidRPr="00E154EB">
        <w:rPr>
          <w:rFonts w:ascii="Arial" w:hAnsi="Arial" w:cs="Arial"/>
          <w:color w:val="auto"/>
          <w:sz w:val="22"/>
          <w:szCs w:val="22"/>
        </w:rPr>
        <w:t xml:space="preserve">. Programas, metas e indicadores de </w:t>
      </w:r>
      <w:r w:rsidR="001B0468" w:rsidRPr="00E154EB">
        <w:rPr>
          <w:rFonts w:ascii="Arial" w:hAnsi="Arial" w:cs="Arial"/>
          <w:color w:val="auto"/>
          <w:sz w:val="22"/>
          <w:szCs w:val="22"/>
        </w:rPr>
        <w:t>Bolívar</w:t>
      </w:r>
      <w:bookmarkEnd w:id="197"/>
    </w:p>
    <w:tbl>
      <w:tblPr>
        <w:tblW w:w="0" w:type="auto"/>
        <w:tblCellMar>
          <w:left w:w="70" w:type="dxa"/>
          <w:right w:w="70" w:type="dxa"/>
        </w:tblCellMar>
        <w:tblLook w:val="04A0" w:firstRow="1" w:lastRow="0" w:firstColumn="1" w:lastColumn="0" w:noHBand="0" w:noVBand="1"/>
      </w:tblPr>
      <w:tblGrid>
        <w:gridCol w:w="4412"/>
        <w:gridCol w:w="4345"/>
        <w:gridCol w:w="5387"/>
      </w:tblGrid>
      <w:tr w:rsidR="002047EF" w:rsidRPr="00E154EB" w:rsidTr="001F34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b/>
                <w:bCs/>
                <w:color w:val="000000"/>
                <w:lang w:eastAsia="es-MX"/>
              </w:rPr>
            </w:pPr>
            <w:r w:rsidRPr="00E154EB">
              <w:rPr>
                <w:rFonts w:ascii="Arial" w:eastAsia="Times New Roman" w:hAnsi="Arial" w:cs="Arial"/>
                <w:b/>
                <w:bCs/>
                <w:color w:val="000000"/>
                <w:lang w:eastAsia="es-MX"/>
              </w:rPr>
              <w:t>subprogramas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047EF" w:rsidRPr="00E154EB" w:rsidRDefault="002047EF" w:rsidP="00247FCF">
            <w:pPr>
              <w:jc w:val="center"/>
              <w:rPr>
                <w:rFonts w:ascii="Arial" w:eastAsia="Times New Roman" w:hAnsi="Arial" w:cs="Arial"/>
                <w:b/>
                <w:bCs/>
                <w:color w:val="000000"/>
                <w:lang w:eastAsia="es-MX"/>
              </w:rPr>
            </w:pPr>
            <w:r w:rsidRPr="00E154EB">
              <w:rPr>
                <w:rFonts w:ascii="Arial" w:eastAsia="Times New Roman" w:hAnsi="Arial" w:cs="Arial"/>
                <w:b/>
                <w:bCs/>
                <w:color w:val="000000"/>
                <w:lang w:eastAsia="es-MX"/>
              </w:rPr>
              <w:t>indicadores de producto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047EF" w:rsidRPr="00E154EB" w:rsidRDefault="002047EF" w:rsidP="00247FCF">
            <w:pPr>
              <w:jc w:val="center"/>
              <w:rPr>
                <w:rFonts w:ascii="Arial" w:eastAsia="Times New Roman" w:hAnsi="Arial" w:cs="Arial"/>
                <w:b/>
                <w:bCs/>
                <w:color w:val="000000"/>
                <w:lang w:eastAsia="es-MX"/>
              </w:rPr>
            </w:pPr>
            <w:r w:rsidRPr="00E154EB">
              <w:rPr>
                <w:rFonts w:ascii="Arial" w:eastAsia="Times New Roman" w:hAnsi="Arial" w:cs="Arial"/>
                <w:b/>
                <w:bCs/>
                <w:color w:val="000000"/>
                <w:lang w:eastAsia="es-MX"/>
              </w:rPr>
              <w:t>metas de producto</w:t>
            </w:r>
          </w:p>
        </w:tc>
      </w:tr>
      <w:tr w:rsidR="002047EF" w:rsidRPr="00E154EB" w:rsidTr="001F348B">
        <w:trPr>
          <w:trHeight w:val="17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PRIMER EMPLEO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Cantidad de sistemas de Orientación, Capacitación e Información para el Primer Empleo.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Un Sistema de Orientación, Capacitación e Información para el Primer Empleo.</w:t>
            </w:r>
          </w:p>
        </w:tc>
      </w:tr>
      <w:tr w:rsidR="002047EF" w:rsidRPr="00E154EB" w:rsidTr="001F348B">
        <w:trPr>
          <w:trHeight w:val="282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publicaciones bimensual que contenga la información específica acerca de los avances del Programa de formalización y generación de empleo Departamento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una publicación bimensual que contenga la información específica acerca de los avances del Programa de formalización y generación de empleo Departamento</w:t>
            </w:r>
          </w:p>
        </w:tc>
      </w:tr>
      <w:tr w:rsidR="002047EF" w:rsidRPr="00E154EB" w:rsidTr="001F348B">
        <w:trPr>
          <w:trHeight w:val="297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las universidades que tienen como radio de acción el departamento de Bolívar en el espacio de discusión y coordinación / No de universidades del Departamento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25% de las universidades que tienen como radio de acción el departamento de Bolívar en el espacio de discusión y coordinación.</w:t>
            </w:r>
          </w:p>
        </w:tc>
      </w:tr>
      <w:tr w:rsidR="002047EF" w:rsidRPr="00E154EB" w:rsidTr="001F348B">
        <w:trPr>
          <w:trHeight w:val="27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SEGUIMIENTO, EVALUACIÓN Y FORTALECIMIENTO A LA PRESTACIÓN DEL SERVICIO DE ASISTENCIA TÉCNICA DIRECTA RURAL</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municipios con seguimiento, evaluados y fortalecidos en servicios de asistencia Técnica</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Cuarenta y seis (46) municipios con seguimiento, evaluación y fortalecimiento del servicio de asistencia técnica</w:t>
            </w:r>
          </w:p>
        </w:tc>
      </w:tr>
      <w:tr w:rsidR="002047EF" w:rsidRPr="00E154EB" w:rsidTr="001F348B">
        <w:trPr>
          <w:trHeight w:val="12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organizaciones con formación en emprendimiento y empresarismo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30 organizaciones con formación en emprendimiento y empresarismo</w:t>
            </w:r>
          </w:p>
        </w:tc>
      </w:tr>
      <w:tr w:rsidR="002047EF" w:rsidRPr="00E154EB" w:rsidTr="001F348B">
        <w:trPr>
          <w:trHeight w:val="18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cultivos certificados con alto potencial agroindustrial / No de certificaciones programadas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Certificar el 20% de los cultivos con alto potencial agroindustria.</w:t>
            </w:r>
          </w:p>
        </w:tc>
      </w:tr>
      <w:tr w:rsidR="002047EF" w:rsidRPr="00E154EB" w:rsidTr="001F348B">
        <w:trPr>
          <w:trHeight w:val="21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APOYO TÉCNICO Y FINANCIERO A PROYECTOS PRODUCTIVOS AGROPECUARIOS, PESQUEROS Y AGROINDUSTRIALES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nuevas cabezas de ganado bovino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96.700 nuevas cabezas de ganado bovino</w:t>
            </w:r>
          </w:p>
        </w:tc>
      </w:tr>
      <w:tr w:rsidR="002047EF" w:rsidRPr="00E154EB" w:rsidTr="001F348B">
        <w:trPr>
          <w:trHeight w:val="15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nuevas cabezas de ganado ovino/No. de cabeza de ganado ovino proyectadas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39% de incremento del inventario ovino en el Departamento</w:t>
            </w:r>
          </w:p>
        </w:tc>
      </w:tr>
      <w:tr w:rsidR="002047EF" w:rsidRPr="00E154EB" w:rsidTr="001F348B">
        <w:trPr>
          <w:trHeight w:val="12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alevinos sembrados/ No de alevinos programados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20% de incremento en la siembra de alevinos en especies nativas</w:t>
            </w:r>
          </w:p>
        </w:tc>
      </w:tr>
      <w:tr w:rsidR="002047EF" w:rsidRPr="00E154EB" w:rsidTr="001F348B">
        <w:trPr>
          <w:trHeight w:val="15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nuevas hectáreas sembradas /No. Hectáreas programadas para la siembra</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11% de incremento del área sembrada en el Departamento</w:t>
            </w:r>
          </w:p>
        </w:tc>
      </w:tr>
      <w:tr w:rsidR="002047EF" w:rsidRPr="00E154EB" w:rsidTr="001F348B">
        <w:trPr>
          <w:trHeight w:val="39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lastRenderedPageBreak/>
              <w:t>Fortalecimiento de la gestión Minera Departamental</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títulos fiscalizados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Un programa de fiscalización ejecutado en un 100% , realizando seguimiento y control a 424 títulos mineros en las etapas de exploración, construcción montaje y explotación acorde con las metas de programadas y acordadas</w:t>
            </w:r>
          </w:p>
        </w:tc>
      </w:tr>
      <w:tr w:rsidR="002047EF" w:rsidRPr="00E154EB" w:rsidTr="001F348B">
        <w:trPr>
          <w:trHeight w:val="18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censos realizados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Un estudio realizado para conocer, identificar los problemas del sector minero y su situación social.</w:t>
            </w:r>
          </w:p>
        </w:tc>
      </w:tr>
      <w:tr w:rsidR="002047EF" w:rsidRPr="00E154EB" w:rsidTr="001F348B">
        <w:trPr>
          <w:trHeight w:val="12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títulos evaluados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424 títulos evaluados integralmente y actualizados técnica y jurídicamente</w:t>
            </w:r>
          </w:p>
        </w:tc>
      </w:tr>
      <w:tr w:rsidR="002047EF" w:rsidRPr="00E154EB" w:rsidTr="001F348B">
        <w:trPr>
          <w:trHeight w:val="1995"/>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carpetas elaboradas para protección de los expedientes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1500 carpetas diseñadas y elaboradas para proteger los folios de los expedientes mineros</w:t>
            </w:r>
          </w:p>
        </w:tc>
      </w:tr>
      <w:tr w:rsidR="002047EF" w:rsidRPr="00E154EB" w:rsidTr="001F348B">
        <w:trPr>
          <w:trHeight w:val="21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expedientes mineros foliados y escaneados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224 expedientes mineros foliados y escaneados y Organizar archivo de la Secretaria de Minas y Energía de acuerdo a la ley 594 del 2000.</w:t>
            </w:r>
          </w:p>
        </w:tc>
      </w:tr>
      <w:tr w:rsidR="002047EF" w:rsidRPr="00E154EB" w:rsidTr="001F348B">
        <w:trPr>
          <w:trHeight w:val="39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Asistencia y capacitación del sector minero a pequeña escala en Bolívar</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 sectores mineros asistidos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30 asentamientos mineros asistidos técnicamente en programas de salud ocupacional seguridad e higiene minera favorecidos dentro de los programas de legalización de minería de hecho y zonas de reserva especial</w:t>
            </w:r>
          </w:p>
        </w:tc>
      </w:tr>
      <w:tr w:rsidR="002047EF" w:rsidRPr="00E154EB" w:rsidTr="001F348B">
        <w:trPr>
          <w:trHeight w:val="24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servidores públicos formados en temas de legislación minera y ambiental</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50 servidores públicos responsables del control de la minería capacitados y formados sobre legislación minera y ambiental</w:t>
            </w:r>
          </w:p>
        </w:tc>
      </w:tr>
      <w:tr w:rsidR="002047EF" w:rsidRPr="00E154EB" w:rsidTr="001F348B">
        <w:trPr>
          <w:trHeight w:val="24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mineros formados y capacitados por sectores mineros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900 Mineros informales del Sur de Bolívar formados, capacitados e instruidos sobre temas mineros , ambientales y legislación minera</w:t>
            </w:r>
          </w:p>
        </w:tc>
      </w:tr>
      <w:tr w:rsidR="002047EF" w:rsidRPr="00E154EB" w:rsidTr="001F348B">
        <w:trPr>
          <w:trHeight w:val="15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talleres de capacitación desarrollados por ZODES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Tres ( 3) talleres desarrollados para el fortalecimiento de la población minera informal</w:t>
            </w:r>
          </w:p>
        </w:tc>
      </w:tr>
      <w:tr w:rsidR="002047EF" w:rsidRPr="00E154EB" w:rsidTr="001F348B">
        <w:trPr>
          <w:trHeight w:val="18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Acompañamiento para la seguridad, productividad y competitividad del sector minero del Sur de Bolívar</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No. de estaciones de salvamento instaladas y puestas en funcionamiento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Tres (3) estaciones apoyando la seguridad minera en el Sur de Bolívar</w:t>
            </w:r>
          </w:p>
        </w:tc>
      </w:tr>
      <w:tr w:rsidR="002047EF" w:rsidRPr="00E154EB" w:rsidTr="001F348B">
        <w:trPr>
          <w:trHeight w:val="21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 de mineros capacitados en salvamento minero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Treinta (30) mineros capacitados como auxiliarles de salvamento para apoyar las estaciones móviles de salvamento minero</w:t>
            </w:r>
          </w:p>
        </w:tc>
      </w:tr>
      <w:tr w:rsidR="002047EF" w:rsidRPr="00E154EB" w:rsidTr="001F348B">
        <w:trPr>
          <w:trHeight w:val="12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 de eventos realizados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Tres (3) eventos de capacitación como auxiliares de salvamento minero.</w:t>
            </w:r>
          </w:p>
        </w:tc>
      </w:tr>
      <w:tr w:rsidR="002047EF" w:rsidRPr="00E154EB" w:rsidTr="001F348B">
        <w:trPr>
          <w:trHeight w:val="15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Emprendimiento y desarrollo industrial</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Línea de base industrial y de emprendimiento</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Crear la línea base del emprendimiento y el desarrollo empresarial de Bolívar.</w:t>
            </w:r>
          </w:p>
        </w:tc>
      </w:tr>
      <w:tr w:rsidR="002047EF" w:rsidRPr="00E154EB" w:rsidTr="001F348B">
        <w:trPr>
          <w:trHeight w:val="1200"/>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 de centros de emprendimiento diseñados y creados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 xml:space="preserve">6 centros de emprendimiento, uno en cada </w:t>
            </w:r>
            <w:proofErr w:type="spellStart"/>
            <w:r w:rsidRPr="00E154EB">
              <w:rPr>
                <w:rFonts w:ascii="Arial" w:eastAsia="Times New Roman" w:hAnsi="Arial" w:cs="Arial"/>
                <w:color w:val="000000"/>
                <w:lang w:eastAsia="es-MX"/>
              </w:rPr>
              <w:t>Zodes</w:t>
            </w:r>
            <w:proofErr w:type="spellEnd"/>
            <w:r w:rsidRPr="00E154EB">
              <w:rPr>
                <w:rFonts w:ascii="Arial" w:eastAsia="Times New Roman" w:hAnsi="Arial" w:cs="Arial"/>
                <w:color w:val="000000"/>
                <w:lang w:eastAsia="es-MX"/>
              </w:rPr>
              <w:t xml:space="preserve"> de Bolívar.</w:t>
            </w:r>
          </w:p>
        </w:tc>
      </w:tr>
      <w:tr w:rsidR="002047EF" w:rsidRPr="00E154EB" w:rsidTr="001F348B">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rPr>
                <w:rFonts w:ascii="Arial" w:eastAsia="Times New Roman" w:hAnsi="Arial" w:cs="Arial"/>
                <w:color w:val="000000"/>
                <w:lang w:eastAsia="es-MX"/>
              </w:rPr>
            </w:pPr>
            <w:r w:rsidRPr="00E154EB">
              <w:rPr>
                <w:rFonts w:ascii="Arial" w:eastAsia="Times New Roman" w:hAnsi="Arial" w:cs="Arial"/>
                <w:color w:val="000000"/>
                <w:lang w:eastAsia="es-MX"/>
              </w:rPr>
              <w:t>Fomento de negocios</w:t>
            </w:r>
          </w:p>
        </w:tc>
        <w:tc>
          <w:tcPr>
            <w:tcW w:w="0" w:type="auto"/>
            <w:tcBorders>
              <w:top w:val="nil"/>
              <w:left w:val="nil"/>
              <w:bottom w:val="single" w:sz="4" w:space="0" w:color="auto"/>
              <w:right w:val="single" w:sz="4" w:space="0" w:color="auto"/>
            </w:tcBorders>
            <w:shd w:val="clear" w:color="auto" w:fill="auto"/>
            <w:vAlign w:val="bottom"/>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 xml:space="preserve"># </w:t>
            </w:r>
            <w:proofErr w:type="gramStart"/>
            <w:r w:rsidRPr="00E154EB">
              <w:rPr>
                <w:rFonts w:ascii="Arial" w:eastAsia="Times New Roman" w:hAnsi="Arial" w:cs="Arial"/>
                <w:color w:val="000000"/>
                <w:lang w:eastAsia="es-MX"/>
              </w:rPr>
              <w:t>de</w:t>
            </w:r>
            <w:proofErr w:type="gramEnd"/>
            <w:r w:rsidRPr="00E154EB">
              <w:rPr>
                <w:rFonts w:ascii="Arial" w:eastAsia="Times New Roman" w:hAnsi="Arial" w:cs="Arial"/>
                <w:color w:val="000000"/>
                <w:lang w:eastAsia="es-MX"/>
              </w:rPr>
              <w:t xml:space="preserve"> ruedas de negocios, misiones y/o ferias realizadas.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4 ruedas de negocios, misiones y/o ferias comerciales.</w:t>
            </w:r>
          </w:p>
        </w:tc>
      </w:tr>
      <w:tr w:rsidR="002047EF" w:rsidRPr="00E154EB" w:rsidTr="001F348B">
        <w:trPr>
          <w:trHeight w:val="8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047EF" w:rsidRPr="00E154EB" w:rsidRDefault="002047EF" w:rsidP="00212C5E">
            <w:pPr>
              <w:jc w:val="center"/>
              <w:rPr>
                <w:rFonts w:ascii="Arial" w:eastAsia="Times New Roman" w:hAnsi="Arial" w:cs="Arial"/>
                <w:color w:val="000000"/>
                <w:lang w:eastAsia="es-MX"/>
              </w:rPr>
            </w:pPr>
            <w:r w:rsidRPr="00E154EB">
              <w:rPr>
                <w:rFonts w:ascii="Arial" w:eastAsia="Times New Roman" w:hAnsi="Arial" w:cs="Arial"/>
                <w:color w:val="000000"/>
                <w:lang w:eastAsia="es-MX"/>
              </w:rPr>
              <w:t>Creación y aceleración de empresas innovadoras</w:t>
            </w: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Numero de Micro Empresas creadas</w:t>
            </w:r>
          </w:p>
        </w:tc>
        <w:tc>
          <w:tcPr>
            <w:tcW w:w="0" w:type="auto"/>
            <w:tcBorders>
              <w:top w:val="nil"/>
              <w:left w:val="nil"/>
              <w:bottom w:val="single" w:sz="4" w:space="0" w:color="auto"/>
              <w:right w:val="single" w:sz="4" w:space="0" w:color="auto"/>
            </w:tcBorders>
            <w:shd w:val="clear" w:color="auto" w:fill="auto"/>
            <w:noWrap/>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60</w:t>
            </w:r>
          </w:p>
        </w:tc>
      </w:tr>
      <w:tr w:rsidR="002047EF" w:rsidRPr="00E154EB" w:rsidTr="001F348B">
        <w:trPr>
          <w:trHeight w:val="915"/>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Numero de Pequeñas empresas creadas</w:t>
            </w:r>
          </w:p>
        </w:tc>
        <w:tc>
          <w:tcPr>
            <w:tcW w:w="0" w:type="auto"/>
            <w:tcBorders>
              <w:top w:val="nil"/>
              <w:left w:val="nil"/>
              <w:bottom w:val="single" w:sz="4" w:space="0" w:color="auto"/>
              <w:right w:val="single" w:sz="4" w:space="0" w:color="auto"/>
            </w:tcBorders>
            <w:shd w:val="clear" w:color="auto" w:fill="auto"/>
            <w:noWrap/>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40</w:t>
            </w:r>
          </w:p>
        </w:tc>
      </w:tr>
      <w:tr w:rsidR="002047EF" w:rsidRPr="00E154EB" w:rsidTr="001F348B">
        <w:trPr>
          <w:trHeight w:val="975"/>
        </w:trPr>
        <w:tc>
          <w:tcPr>
            <w:tcW w:w="0" w:type="auto"/>
            <w:vMerge/>
            <w:tcBorders>
              <w:top w:val="nil"/>
              <w:left w:val="single" w:sz="4" w:space="0" w:color="auto"/>
              <w:bottom w:val="single" w:sz="4" w:space="0" w:color="auto"/>
              <w:right w:val="single" w:sz="4" w:space="0" w:color="auto"/>
            </w:tcBorders>
            <w:vAlign w:val="center"/>
            <w:hideMark/>
          </w:tcPr>
          <w:p w:rsidR="002047EF" w:rsidRPr="00E154EB" w:rsidRDefault="002047EF" w:rsidP="00212C5E">
            <w:pPr>
              <w:rPr>
                <w:rFonts w:ascii="Arial" w:eastAsia="Times New Roman" w:hAnsi="Arial" w:cs="Arial"/>
                <w:color w:val="000000"/>
                <w:lang w:eastAsia="es-MX"/>
              </w:rPr>
            </w:pPr>
          </w:p>
        </w:tc>
        <w:tc>
          <w:tcPr>
            <w:tcW w:w="0" w:type="auto"/>
            <w:tcBorders>
              <w:top w:val="nil"/>
              <w:left w:val="nil"/>
              <w:bottom w:val="single" w:sz="4" w:space="0" w:color="auto"/>
              <w:right w:val="single" w:sz="4" w:space="0" w:color="auto"/>
            </w:tcBorders>
            <w:shd w:val="clear" w:color="auto" w:fill="auto"/>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Número de nuevos empleos directos calificados</w:t>
            </w:r>
          </w:p>
        </w:tc>
        <w:tc>
          <w:tcPr>
            <w:tcW w:w="0" w:type="auto"/>
            <w:tcBorders>
              <w:top w:val="nil"/>
              <w:left w:val="nil"/>
              <w:bottom w:val="single" w:sz="4" w:space="0" w:color="auto"/>
              <w:right w:val="single" w:sz="4" w:space="0" w:color="auto"/>
            </w:tcBorders>
            <w:shd w:val="clear" w:color="auto" w:fill="auto"/>
            <w:noWrap/>
            <w:vAlign w:val="center"/>
            <w:hideMark/>
          </w:tcPr>
          <w:p w:rsidR="002047EF" w:rsidRPr="00E154EB" w:rsidRDefault="002047EF" w:rsidP="001F348B">
            <w:pPr>
              <w:rPr>
                <w:rFonts w:ascii="Arial" w:eastAsia="Times New Roman" w:hAnsi="Arial" w:cs="Arial"/>
                <w:color w:val="000000"/>
                <w:lang w:eastAsia="es-MX"/>
              </w:rPr>
            </w:pPr>
            <w:r w:rsidRPr="00E154EB">
              <w:rPr>
                <w:rFonts w:ascii="Arial" w:eastAsia="Times New Roman" w:hAnsi="Arial" w:cs="Arial"/>
                <w:color w:val="000000"/>
                <w:lang w:eastAsia="es-MX"/>
              </w:rPr>
              <w:t>900</w:t>
            </w:r>
          </w:p>
        </w:tc>
      </w:tr>
    </w:tbl>
    <w:p w:rsidR="002047EF" w:rsidRPr="000D6CC4" w:rsidRDefault="002047EF" w:rsidP="00056952">
      <w:pPr>
        <w:jc w:val="center"/>
        <w:rPr>
          <w:rFonts w:ascii="Arial" w:hAnsi="Arial" w:cs="Arial"/>
        </w:rPr>
      </w:pPr>
      <w:r w:rsidRPr="000D6CC4">
        <w:rPr>
          <w:rFonts w:ascii="Arial" w:hAnsi="Arial" w:cs="Arial"/>
          <w:sz w:val="18"/>
          <w:szCs w:val="18"/>
        </w:rPr>
        <w:t xml:space="preserve">Fuente: Plan de Desarrollo de </w:t>
      </w:r>
      <w:r w:rsidR="001B0468" w:rsidRPr="000D6CC4">
        <w:rPr>
          <w:rFonts w:ascii="Arial" w:hAnsi="Arial" w:cs="Arial"/>
          <w:sz w:val="18"/>
          <w:szCs w:val="18"/>
        </w:rPr>
        <w:t>Bolívar</w:t>
      </w:r>
      <w:r w:rsidRPr="000D6CC4">
        <w:rPr>
          <w:rFonts w:ascii="Arial" w:hAnsi="Arial" w:cs="Arial"/>
          <w:sz w:val="18"/>
          <w:szCs w:val="18"/>
        </w:rPr>
        <w:t xml:space="preserve"> 2012-2015 “</w:t>
      </w:r>
      <w:r w:rsidR="001B0468" w:rsidRPr="000D6CC4">
        <w:rPr>
          <w:rFonts w:ascii="Arial" w:hAnsi="Arial" w:cs="Arial"/>
          <w:sz w:val="18"/>
          <w:szCs w:val="18"/>
        </w:rPr>
        <w:t>Bolívar</w:t>
      </w:r>
      <w:r w:rsidRPr="000D6CC4">
        <w:rPr>
          <w:rFonts w:ascii="Arial" w:hAnsi="Arial" w:cs="Arial"/>
          <w:sz w:val="18"/>
          <w:szCs w:val="18"/>
        </w:rPr>
        <w:t xml:space="preserve"> Ganador”</w:t>
      </w:r>
    </w:p>
    <w:p w:rsidR="002047EF" w:rsidRPr="002A1739" w:rsidRDefault="002047EF" w:rsidP="002047EF">
      <w:pPr>
        <w:autoSpaceDE w:val="0"/>
        <w:autoSpaceDN w:val="0"/>
        <w:adjustRightInd w:val="0"/>
        <w:spacing w:line="276" w:lineRule="auto"/>
        <w:jc w:val="both"/>
        <w:rPr>
          <w:rFonts w:ascii="Arial" w:hAnsi="Arial" w:cs="Arial"/>
          <w:color w:val="C0504D" w:themeColor="accent2"/>
          <w:sz w:val="18"/>
        </w:rPr>
      </w:pPr>
    </w:p>
    <w:p w:rsidR="002047EF" w:rsidRDefault="002047EF" w:rsidP="002047EF">
      <w:pPr>
        <w:autoSpaceDE w:val="0"/>
        <w:autoSpaceDN w:val="0"/>
        <w:adjustRightInd w:val="0"/>
        <w:spacing w:line="276" w:lineRule="auto"/>
        <w:jc w:val="both"/>
        <w:rPr>
          <w:rFonts w:ascii="Arial" w:hAnsi="Arial" w:cs="Arial"/>
          <w:b/>
          <w:i/>
          <w:color w:val="C0504D" w:themeColor="accent2"/>
          <w:sz w:val="18"/>
        </w:r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C24023" w:rsidRDefault="00C24023">
      <w:pPr>
        <w:spacing w:after="200" w:line="276" w:lineRule="auto"/>
        <w:rPr>
          <w:rFonts w:ascii="Arial" w:hAnsi="Arial" w:cs="Arial"/>
          <w:b/>
          <w:i/>
          <w:color w:val="C0504D" w:themeColor="accent2"/>
          <w:sz w:val="18"/>
        </w:rPr>
      </w:pPr>
      <w:r>
        <w:rPr>
          <w:rFonts w:ascii="Arial" w:hAnsi="Arial" w:cs="Arial"/>
          <w:b/>
          <w:i/>
          <w:color w:val="C0504D" w:themeColor="accent2"/>
          <w:sz w:val="18"/>
        </w:rPr>
        <w:br w:type="page"/>
      </w:r>
    </w:p>
    <w:p w:rsidR="00C24023" w:rsidRDefault="00C24023" w:rsidP="00BD4679">
      <w:pPr>
        <w:autoSpaceDE w:val="0"/>
        <w:autoSpaceDN w:val="0"/>
        <w:adjustRightInd w:val="0"/>
        <w:spacing w:line="276" w:lineRule="auto"/>
        <w:jc w:val="both"/>
        <w:rPr>
          <w:rFonts w:ascii="Arial" w:hAnsi="Arial" w:cs="Arial"/>
          <w:b/>
          <w:i/>
          <w:color w:val="C0504D" w:themeColor="accent2"/>
          <w:sz w:val="18"/>
        </w:rPr>
        <w:sectPr w:rsidR="00C24023" w:rsidSect="00C24023">
          <w:pgSz w:w="16840" w:h="11900" w:orient="landscape"/>
          <w:pgMar w:top="1701" w:right="1418" w:bottom="1701" w:left="1418" w:header="709" w:footer="709" w:gutter="0"/>
          <w:cols w:space="708"/>
        </w:sectPr>
      </w:pPr>
    </w:p>
    <w:p w:rsidR="00381869" w:rsidRDefault="00381869" w:rsidP="00BD4679">
      <w:pPr>
        <w:autoSpaceDE w:val="0"/>
        <w:autoSpaceDN w:val="0"/>
        <w:adjustRightInd w:val="0"/>
        <w:spacing w:line="276" w:lineRule="auto"/>
        <w:jc w:val="both"/>
        <w:rPr>
          <w:rFonts w:ascii="Arial" w:hAnsi="Arial" w:cs="Arial"/>
          <w:b/>
          <w:i/>
          <w:color w:val="C0504D" w:themeColor="accent2"/>
          <w:sz w:val="18"/>
        </w:rPr>
      </w:pPr>
    </w:p>
    <w:p w:rsidR="00381869" w:rsidRPr="002047EF" w:rsidRDefault="00381869" w:rsidP="00DC6E74">
      <w:pPr>
        <w:pStyle w:val="Prrafodelista"/>
        <w:keepNext/>
        <w:keepLines/>
        <w:numPr>
          <w:ilvl w:val="0"/>
          <w:numId w:val="28"/>
        </w:numPr>
        <w:spacing w:line="276" w:lineRule="auto"/>
        <w:outlineLvl w:val="0"/>
        <w:rPr>
          <w:rFonts w:ascii="Arial" w:hAnsi="Arial" w:cs="Arial"/>
          <w:b/>
          <w:bCs/>
          <w:color w:val="C00000"/>
          <w:sz w:val="24"/>
          <w:szCs w:val="24"/>
        </w:rPr>
      </w:pPr>
      <w:bookmarkStart w:id="198" w:name="_Toc228354569"/>
      <w:bookmarkStart w:id="199" w:name="_Toc362015327"/>
      <w:bookmarkStart w:id="200" w:name="_Toc383790182"/>
      <w:bookmarkStart w:id="201" w:name="_Toc384367643"/>
      <w:bookmarkStart w:id="202" w:name="_Toc385001378"/>
      <w:bookmarkStart w:id="203" w:name="_Toc385418247"/>
      <w:bookmarkStart w:id="204" w:name="_Toc386007268"/>
      <w:bookmarkStart w:id="205" w:name="_Toc389666645"/>
      <w:r w:rsidRPr="002047EF">
        <w:rPr>
          <w:rFonts w:ascii="Arial" w:hAnsi="Arial" w:cs="Arial"/>
          <w:b/>
          <w:bCs/>
          <w:color w:val="C00000"/>
          <w:sz w:val="24"/>
          <w:szCs w:val="24"/>
        </w:rPr>
        <w:t>Ejes estratégicos</w:t>
      </w:r>
      <w:bookmarkEnd w:id="198"/>
      <w:bookmarkEnd w:id="199"/>
      <w:bookmarkEnd w:id="200"/>
      <w:r w:rsidRPr="002047EF">
        <w:rPr>
          <w:rFonts w:ascii="Arial" w:hAnsi="Arial" w:cs="Arial"/>
          <w:b/>
          <w:bCs/>
          <w:color w:val="C00000"/>
          <w:sz w:val="24"/>
          <w:szCs w:val="24"/>
        </w:rPr>
        <w:t>, programas y proyectos del Plan Departamental de Empleo</w:t>
      </w:r>
      <w:bookmarkEnd w:id="201"/>
      <w:bookmarkEnd w:id="202"/>
      <w:bookmarkEnd w:id="203"/>
      <w:bookmarkEnd w:id="204"/>
      <w:bookmarkEnd w:id="205"/>
    </w:p>
    <w:p w:rsidR="00381869" w:rsidRPr="008E34DF" w:rsidRDefault="00381869" w:rsidP="00056952">
      <w:pPr>
        <w:spacing w:line="276" w:lineRule="auto"/>
        <w:contextualSpacing/>
        <w:jc w:val="both"/>
        <w:rPr>
          <w:rFonts w:ascii="Arial" w:hAnsi="Arial" w:cs="Arial"/>
        </w:rPr>
      </w:pPr>
    </w:p>
    <w:p w:rsidR="00381869" w:rsidRDefault="00381869" w:rsidP="00056952">
      <w:pPr>
        <w:spacing w:line="276" w:lineRule="auto"/>
        <w:jc w:val="both"/>
        <w:rPr>
          <w:rFonts w:ascii="Arial" w:hAnsi="Arial" w:cs="Arial"/>
          <w:bCs/>
        </w:rPr>
      </w:pPr>
    </w:p>
    <w:p w:rsidR="0032593A" w:rsidRPr="003E54FC" w:rsidRDefault="0032593A" w:rsidP="00056952">
      <w:pPr>
        <w:spacing w:line="276" w:lineRule="auto"/>
        <w:jc w:val="both"/>
        <w:rPr>
          <w:rFonts w:ascii="Arial" w:hAnsi="Arial" w:cs="Arial"/>
        </w:rPr>
      </w:pPr>
      <w:r w:rsidRPr="003E54FC">
        <w:rPr>
          <w:rFonts w:ascii="Arial" w:hAnsi="Arial" w:cs="Arial"/>
        </w:rPr>
        <w:t>En esta sección del Plan de Empleo se presentan los ejes, programas y proyectos que constituyen la estrategia a seguir en materia de empleo en el departamento del Bolívar. Las propuestas aquí presentadas buscan combatir las debilidades detectadas en el departamento y generar impactos pos</w:t>
      </w:r>
      <w:r>
        <w:rPr>
          <w:rFonts w:ascii="Arial" w:hAnsi="Arial" w:cs="Arial"/>
        </w:rPr>
        <w:t>itivos en la creación de empleo.</w:t>
      </w:r>
    </w:p>
    <w:p w:rsidR="0032593A" w:rsidRPr="003E54FC" w:rsidRDefault="0032593A" w:rsidP="00056952">
      <w:pPr>
        <w:spacing w:line="276" w:lineRule="auto"/>
        <w:contextualSpacing/>
        <w:jc w:val="both"/>
        <w:rPr>
          <w:rFonts w:ascii="Arial" w:hAnsi="Arial" w:cs="Arial"/>
        </w:rPr>
      </w:pPr>
      <w:r w:rsidRPr="003E54FC">
        <w:rPr>
          <w:rFonts w:ascii="Arial" w:hAnsi="Arial" w:cs="Arial"/>
        </w:rPr>
        <w:t xml:space="preserve">Con el fin de destacar la voluntad de todos los actores por sacar adelante el plan y con una mejor articulación de la oferta de empleo del territorio, se decidió aplicar los siguientes ajustes. </w:t>
      </w:r>
    </w:p>
    <w:p w:rsidR="0032593A" w:rsidRPr="003E54FC" w:rsidRDefault="0032593A" w:rsidP="00056952">
      <w:pPr>
        <w:spacing w:line="276" w:lineRule="auto"/>
        <w:contextualSpacing/>
        <w:jc w:val="both"/>
        <w:rPr>
          <w:rFonts w:ascii="Arial" w:hAnsi="Arial" w:cs="Arial"/>
        </w:rPr>
      </w:pPr>
    </w:p>
    <w:p w:rsidR="0032593A" w:rsidRPr="003E54FC" w:rsidRDefault="0032593A" w:rsidP="00056952">
      <w:pPr>
        <w:spacing w:line="276" w:lineRule="auto"/>
        <w:contextualSpacing/>
        <w:jc w:val="both"/>
        <w:rPr>
          <w:rFonts w:ascii="Arial" w:hAnsi="Arial" w:cs="Arial"/>
        </w:rPr>
      </w:pPr>
      <w:r w:rsidRPr="003E54FC">
        <w:rPr>
          <w:rFonts w:ascii="Arial" w:hAnsi="Arial" w:cs="Arial"/>
        </w:rPr>
        <w:t>Los proyectos del plan departamental de empleo de Bolívar tienen las siguientes características. De los 11</w:t>
      </w:r>
      <w:r>
        <w:rPr>
          <w:rFonts w:ascii="Arial" w:hAnsi="Arial" w:cs="Arial"/>
        </w:rPr>
        <w:t xml:space="preserve"> </w:t>
      </w:r>
      <w:r w:rsidRPr="003E54FC">
        <w:rPr>
          <w:rFonts w:ascii="Arial" w:hAnsi="Arial" w:cs="Arial"/>
        </w:rPr>
        <w:t xml:space="preserve">proyectos establecidos, la gobernación decidió que dos de estos </w:t>
      </w:r>
      <w:r>
        <w:rPr>
          <w:rFonts w:ascii="Arial" w:hAnsi="Arial" w:cs="Arial"/>
        </w:rPr>
        <w:t>proyectos fuesen convertidos en estrategias. Este fue el caso del proyecto “</w:t>
      </w:r>
      <w:r w:rsidRPr="003E54FC">
        <w:rPr>
          <w:rFonts w:ascii="Arial" w:hAnsi="Arial" w:cs="Arial"/>
        </w:rPr>
        <w:t>Diseño e implementación de una política departamental de trabajo decente</w:t>
      </w:r>
      <w:r>
        <w:rPr>
          <w:rFonts w:ascii="Arial" w:hAnsi="Arial" w:cs="Arial"/>
        </w:rPr>
        <w:t>”</w:t>
      </w:r>
      <w:r w:rsidRPr="003E54FC">
        <w:rPr>
          <w:rFonts w:ascii="Arial" w:hAnsi="Arial" w:cs="Arial"/>
        </w:rPr>
        <w:t xml:space="preserve"> y</w:t>
      </w:r>
      <w:r>
        <w:rPr>
          <w:rFonts w:ascii="Arial" w:hAnsi="Arial" w:cs="Arial"/>
        </w:rPr>
        <w:t xml:space="preserve"> “D</w:t>
      </w:r>
      <w:r w:rsidRPr="003E54FC">
        <w:rPr>
          <w:rFonts w:ascii="Arial" w:hAnsi="Arial" w:cs="Arial"/>
        </w:rPr>
        <w:t>iseño y construcción del Plan de Empleo Distrital</w:t>
      </w:r>
      <w:r>
        <w:rPr>
          <w:rFonts w:ascii="Arial" w:hAnsi="Arial" w:cs="Arial"/>
        </w:rPr>
        <w:t>”</w:t>
      </w:r>
      <w:r w:rsidRPr="003E54FC">
        <w:rPr>
          <w:rFonts w:ascii="Arial" w:hAnsi="Arial" w:cs="Arial"/>
        </w:rPr>
        <w:t xml:space="preserve">. Con los nueve proyectos restantes, la gobernación retiro uno (fondo de emprendimiento del distrito) y formulara dos por su cuenta (construcción de centros de emprendimiento en el ZODES de loba o </w:t>
      </w:r>
      <w:proofErr w:type="spellStart"/>
      <w:r w:rsidRPr="003E54FC">
        <w:rPr>
          <w:rFonts w:ascii="Arial" w:hAnsi="Arial" w:cs="Arial"/>
        </w:rPr>
        <w:t>Mojana</w:t>
      </w:r>
      <w:proofErr w:type="spellEnd"/>
      <w:r w:rsidRPr="003E54FC">
        <w:rPr>
          <w:rFonts w:ascii="Arial" w:hAnsi="Arial" w:cs="Arial"/>
        </w:rPr>
        <w:t xml:space="preserve"> y desarrollo productivo de la comunidad de alta montaña de los montes de María). De los seis proyectos restantes, el Programa de Asistencia Técnica formulará </w:t>
      </w:r>
      <w:commentRangeStart w:id="206"/>
      <w:r w:rsidRPr="003E54FC">
        <w:rPr>
          <w:rFonts w:ascii="Arial" w:hAnsi="Arial" w:cs="Arial"/>
        </w:rPr>
        <w:t>uno</w:t>
      </w:r>
      <w:commentRangeEnd w:id="206"/>
      <w:r w:rsidR="009351FC">
        <w:rPr>
          <w:rStyle w:val="Refdecomentario"/>
        </w:rPr>
        <w:commentReference w:id="206"/>
      </w:r>
      <w:r w:rsidRPr="003E54FC">
        <w:rPr>
          <w:rFonts w:ascii="Arial" w:hAnsi="Arial" w:cs="Arial"/>
        </w:rPr>
        <w:t xml:space="preserve"> y </w:t>
      </w:r>
      <w:r w:rsidR="009351FC">
        <w:rPr>
          <w:rFonts w:ascii="Arial" w:hAnsi="Arial" w:cs="Arial"/>
        </w:rPr>
        <w:t>los</w:t>
      </w:r>
      <w:r w:rsidRPr="003E54FC">
        <w:rPr>
          <w:rFonts w:ascii="Arial" w:hAnsi="Arial" w:cs="Arial"/>
        </w:rPr>
        <w:t xml:space="preserve"> rest</w:t>
      </w:r>
      <w:r w:rsidR="009351FC">
        <w:rPr>
          <w:rFonts w:ascii="Arial" w:hAnsi="Arial" w:cs="Arial"/>
        </w:rPr>
        <w:t>antes</w:t>
      </w:r>
      <w:r w:rsidRPr="003E54FC">
        <w:rPr>
          <w:rFonts w:ascii="Arial" w:hAnsi="Arial" w:cs="Arial"/>
        </w:rPr>
        <w:t xml:space="preserve"> ya se encuentran avanzados en el proceso de cumplimiento de objetivos. </w:t>
      </w:r>
    </w:p>
    <w:p w:rsidR="0032593A" w:rsidRPr="003E54FC" w:rsidRDefault="0032593A" w:rsidP="00056952">
      <w:pPr>
        <w:spacing w:line="276" w:lineRule="auto"/>
        <w:contextualSpacing/>
        <w:jc w:val="both"/>
        <w:rPr>
          <w:rFonts w:ascii="Arial" w:hAnsi="Arial" w:cs="Arial"/>
        </w:rPr>
      </w:pPr>
    </w:p>
    <w:p w:rsidR="0032593A" w:rsidRPr="003E54FC" w:rsidRDefault="0032593A" w:rsidP="00056952">
      <w:pPr>
        <w:spacing w:line="276" w:lineRule="auto"/>
        <w:contextualSpacing/>
        <w:jc w:val="both"/>
        <w:rPr>
          <w:rFonts w:ascii="Arial" w:hAnsi="Arial" w:cs="Arial"/>
        </w:rPr>
      </w:pPr>
      <w:r>
        <w:rPr>
          <w:rFonts w:ascii="Arial" w:hAnsi="Arial" w:cs="Arial"/>
        </w:rPr>
        <w:t>P</w:t>
      </w:r>
      <w:r w:rsidRPr="003E54FC">
        <w:rPr>
          <w:rFonts w:ascii="Arial" w:hAnsi="Arial" w:cs="Arial"/>
        </w:rPr>
        <w:t xml:space="preserve">ara la </w:t>
      </w:r>
      <w:r>
        <w:rPr>
          <w:rFonts w:ascii="Arial" w:hAnsi="Arial" w:cs="Arial"/>
        </w:rPr>
        <w:t>dirección</w:t>
      </w:r>
      <w:r w:rsidRPr="003E54FC">
        <w:rPr>
          <w:rFonts w:ascii="Arial" w:hAnsi="Arial" w:cs="Arial"/>
        </w:rPr>
        <w:t xml:space="preserve"> de desarrollo económico es </w:t>
      </w:r>
      <w:r>
        <w:rPr>
          <w:rFonts w:ascii="Arial" w:hAnsi="Arial" w:cs="Arial"/>
        </w:rPr>
        <w:t>oportuno contar con</w:t>
      </w:r>
      <w:r w:rsidRPr="003E54FC">
        <w:rPr>
          <w:rFonts w:ascii="Arial" w:hAnsi="Arial" w:cs="Arial"/>
        </w:rPr>
        <w:t xml:space="preserve"> un plan que le permita hacer seguimiento a las estrategias </w:t>
      </w:r>
      <w:r>
        <w:rPr>
          <w:rFonts w:ascii="Arial" w:hAnsi="Arial" w:cs="Arial"/>
        </w:rPr>
        <w:t xml:space="preserve">futuras </w:t>
      </w:r>
      <w:r w:rsidRPr="003E54FC">
        <w:rPr>
          <w:rFonts w:ascii="Arial" w:hAnsi="Arial" w:cs="Arial"/>
        </w:rPr>
        <w:t xml:space="preserve">de generación de empleo, pero también que es necesario tener un mecanismo que consolide la oferta para </w:t>
      </w:r>
      <w:r>
        <w:rPr>
          <w:rFonts w:ascii="Arial" w:hAnsi="Arial" w:cs="Arial"/>
        </w:rPr>
        <w:t xml:space="preserve">así </w:t>
      </w:r>
      <w:r w:rsidRPr="003E54FC">
        <w:rPr>
          <w:rFonts w:ascii="Arial" w:hAnsi="Arial" w:cs="Arial"/>
        </w:rPr>
        <w:t xml:space="preserve">lograr cuantificar </w:t>
      </w:r>
      <w:r>
        <w:rPr>
          <w:rFonts w:ascii="Arial" w:hAnsi="Arial" w:cs="Arial"/>
        </w:rPr>
        <w:t>los avances</w:t>
      </w:r>
      <w:r w:rsidRPr="003E54FC">
        <w:rPr>
          <w:rFonts w:ascii="Arial" w:hAnsi="Arial" w:cs="Arial"/>
        </w:rPr>
        <w:t xml:space="preserve">.  </w:t>
      </w:r>
      <w:r>
        <w:rPr>
          <w:rFonts w:ascii="Arial" w:hAnsi="Arial" w:cs="Arial"/>
        </w:rPr>
        <w:t xml:space="preserve">Finalmente, fueron definidos </w:t>
      </w:r>
      <w:r w:rsidRPr="003E54FC">
        <w:rPr>
          <w:rFonts w:ascii="Arial" w:hAnsi="Arial" w:cs="Arial"/>
        </w:rPr>
        <w:t>unos ejes de acción temáticos que facilitan la definición de los responsables.</w:t>
      </w:r>
    </w:p>
    <w:p w:rsidR="0032593A" w:rsidRPr="003E54FC" w:rsidRDefault="0032593A" w:rsidP="00056952">
      <w:pPr>
        <w:spacing w:line="276" w:lineRule="auto"/>
        <w:contextualSpacing/>
        <w:jc w:val="both"/>
        <w:rPr>
          <w:rFonts w:ascii="Arial" w:hAnsi="Arial" w:cs="Arial"/>
        </w:rPr>
      </w:pPr>
    </w:p>
    <w:p w:rsidR="0032593A" w:rsidRPr="003E54FC" w:rsidRDefault="0032593A" w:rsidP="00DC6E74">
      <w:pPr>
        <w:pStyle w:val="Prrafodelista"/>
        <w:numPr>
          <w:ilvl w:val="0"/>
          <w:numId w:val="11"/>
        </w:numPr>
        <w:spacing w:line="276" w:lineRule="auto"/>
        <w:ind w:left="709" w:hanging="349"/>
        <w:jc w:val="both"/>
        <w:rPr>
          <w:rFonts w:ascii="Arial" w:hAnsi="Arial" w:cs="Arial"/>
        </w:rPr>
      </w:pPr>
      <w:r w:rsidRPr="003E54FC">
        <w:rPr>
          <w:rFonts w:ascii="Arial" w:hAnsi="Arial" w:cs="Arial"/>
        </w:rPr>
        <w:t>Agroindustria y emprendimiento: Encaminados sobre todo a las zonas más al sur del departamento.</w:t>
      </w:r>
    </w:p>
    <w:p w:rsidR="0032593A" w:rsidRPr="003E54FC" w:rsidRDefault="0032593A" w:rsidP="00056952">
      <w:pPr>
        <w:pStyle w:val="Prrafodelista"/>
        <w:spacing w:line="276" w:lineRule="auto"/>
        <w:ind w:left="1065"/>
        <w:jc w:val="both"/>
        <w:rPr>
          <w:rFonts w:ascii="Arial" w:hAnsi="Arial" w:cs="Arial"/>
        </w:rPr>
      </w:pPr>
    </w:p>
    <w:p w:rsidR="0032593A" w:rsidRPr="003E54FC" w:rsidRDefault="0032593A" w:rsidP="00DC6E74">
      <w:pPr>
        <w:pStyle w:val="Prrafodelista"/>
        <w:numPr>
          <w:ilvl w:val="0"/>
          <w:numId w:val="12"/>
        </w:numPr>
        <w:spacing w:line="276" w:lineRule="auto"/>
        <w:jc w:val="both"/>
        <w:rPr>
          <w:rFonts w:ascii="Arial" w:hAnsi="Arial" w:cs="Arial"/>
        </w:rPr>
      </w:pPr>
      <w:r w:rsidRPr="003E54FC">
        <w:rPr>
          <w:rFonts w:ascii="Arial" w:hAnsi="Arial" w:cs="Arial"/>
        </w:rPr>
        <w:t>Entidades a cargo: Desarrollo económico y secretaria de agricultura.</w:t>
      </w:r>
    </w:p>
    <w:p w:rsidR="0032593A" w:rsidRPr="003E54FC" w:rsidRDefault="0032593A" w:rsidP="00DC6E74">
      <w:pPr>
        <w:pStyle w:val="Prrafodelista"/>
        <w:numPr>
          <w:ilvl w:val="0"/>
          <w:numId w:val="12"/>
        </w:numPr>
        <w:spacing w:line="276" w:lineRule="auto"/>
        <w:jc w:val="both"/>
        <w:rPr>
          <w:rFonts w:ascii="Arial" w:hAnsi="Arial" w:cs="Arial"/>
        </w:rPr>
      </w:pPr>
      <w:r w:rsidRPr="003E54FC">
        <w:rPr>
          <w:rFonts w:ascii="Arial" w:hAnsi="Arial" w:cs="Arial"/>
        </w:rPr>
        <w:t>Proyectos:</w:t>
      </w:r>
    </w:p>
    <w:p w:rsidR="0032593A" w:rsidRPr="003E54FC" w:rsidRDefault="0032593A" w:rsidP="00DC6E74">
      <w:pPr>
        <w:pStyle w:val="Prrafodelista"/>
        <w:numPr>
          <w:ilvl w:val="1"/>
          <w:numId w:val="12"/>
        </w:numPr>
        <w:spacing w:line="276" w:lineRule="auto"/>
        <w:jc w:val="both"/>
        <w:rPr>
          <w:rFonts w:ascii="Arial" w:hAnsi="Arial" w:cs="Arial"/>
        </w:rPr>
      </w:pPr>
      <w:r w:rsidRPr="003E54FC">
        <w:rPr>
          <w:rFonts w:ascii="Arial" w:hAnsi="Arial" w:cs="Arial"/>
        </w:rPr>
        <w:t>Emprendimiento para organizaciones campesinas (Desarrollo Económico)</w:t>
      </w:r>
    </w:p>
    <w:p w:rsidR="0032593A" w:rsidRPr="003E54FC" w:rsidRDefault="0032593A" w:rsidP="00DC6E74">
      <w:pPr>
        <w:pStyle w:val="Prrafodelista"/>
        <w:numPr>
          <w:ilvl w:val="1"/>
          <w:numId w:val="12"/>
        </w:numPr>
        <w:spacing w:line="276" w:lineRule="auto"/>
        <w:jc w:val="both"/>
        <w:rPr>
          <w:rFonts w:ascii="Arial" w:hAnsi="Arial" w:cs="Arial"/>
        </w:rPr>
      </w:pPr>
      <w:proofErr w:type="spellStart"/>
      <w:r w:rsidRPr="003E54FC">
        <w:rPr>
          <w:rFonts w:ascii="Arial" w:hAnsi="Arial" w:cs="Arial"/>
        </w:rPr>
        <w:t>Jatropha</w:t>
      </w:r>
      <w:proofErr w:type="spellEnd"/>
      <w:r w:rsidRPr="003E54FC">
        <w:rPr>
          <w:rFonts w:ascii="Arial" w:hAnsi="Arial" w:cs="Arial"/>
        </w:rPr>
        <w:t xml:space="preserve"> Curcas (Secretaria de Agricultura)</w:t>
      </w:r>
    </w:p>
    <w:p w:rsidR="0032593A" w:rsidRPr="003E54FC" w:rsidRDefault="0032593A" w:rsidP="00DC6E74">
      <w:pPr>
        <w:pStyle w:val="Prrafodelista"/>
        <w:numPr>
          <w:ilvl w:val="1"/>
          <w:numId w:val="12"/>
        </w:numPr>
        <w:spacing w:line="276" w:lineRule="auto"/>
        <w:jc w:val="both"/>
        <w:rPr>
          <w:rFonts w:ascii="Arial" w:hAnsi="Arial" w:cs="Arial"/>
        </w:rPr>
      </w:pPr>
      <w:r w:rsidRPr="003E54FC">
        <w:rPr>
          <w:rFonts w:ascii="Arial" w:hAnsi="Arial" w:cs="Arial"/>
        </w:rPr>
        <w:t xml:space="preserve">Piloto de Centro de Emprendimiento ZODES Loba o </w:t>
      </w:r>
      <w:proofErr w:type="spellStart"/>
      <w:r w:rsidRPr="003E54FC">
        <w:rPr>
          <w:rFonts w:ascii="Arial" w:hAnsi="Arial" w:cs="Arial"/>
        </w:rPr>
        <w:t>Mojana</w:t>
      </w:r>
      <w:proofErr w:type="spellEnd"/>
      <w:r w:rsidRPr="003E54FC">
        <w:rPr>
          <w:rFonts w:ascii="Arial" w:hAnsi="Arial" w:cs="Arial"/>
        </w:rPr>
        <w:t xml:space="preserve"> (Desarrollo Económico)</w:t>
      </w:r>
    </w:p>
    <w:p w:rsidR="0032593A" w:rsidRPr="003E54FC" w:rsidRDefault="0032593A" w:rsidP="00056952">
      <w:pPr>
        <w:pStyle w:val="Prrafodelista"/>
        <w:spacing w:line="276" w:lineRule="auto"/>
        <w:ind w:left="1440"/>
        <w:jc w:val="both"/>
        <w:rPr>
          <w:rFonts w:ascii="Arial" w:hAnsi="Arial" w:cs="Arial"/>
        </w:rPr>
      </w:pPr>
    </w:p>
    <w:p w:rsidR="0032593A" w:rsidRPr="003E54FC" w:rsidRDefault="0032593A" w:rsidP="00DC6E74">
      <w:pPr>
        <w:pStyle w:val="Prrafodelista"/>
        <w:numPr>
          <w:ilvl w:val="0"/>
          <w:numId w:val="11"/>
        </w:numPr>
        <w:spacing w:line="276" w:lineRule="auto"/>
        <w:ind w:left="709" w:hanging="349"/>
        <w:jc w:val="both"/>
        <w:rPr>
          <w:rFonts w:ascii="Arial" w:hAnsi="Arial" w:cs="Arial"/>
        </w:rPr>
      </w:pPr>
      <w:r w:rsidRPr="003E54FC">
        <w:rPr>
          <w:rFonts w:ascii="Arial" w:hAnsi="Arial" w:cs="Arial"/>
        </w:rPr>
        <w:t>Cultura: la gobernación tiene un interés particular por la promoción de la industria cultural del departamento</w:t>
      </w:r>
    </w:p>
    <w:p w:rsidR="0032593A" w:rsidRPr="003E54FC" w:rsidRDefault="0032593A" w:rsidP="00056952">
      <w:pPr>
        <w:pStyle w:val="Prrafodelista"/>
        <w:spacing w:line="276" w:lineRule="auto"/>
        <w:ind w:left="1065"/>
        <w:jc w:val="both"/>
        <w:rPr>
          <w:rFonts w:ascii="Arial" w:hAnsi="Arial" w:cs="Arial"/>
        </w:rPr>
      </w:pPr>
    </w:p>
    <w:p w:rsidR="0032593A" w:rsidRPr="003E54FC" w:rsidRDefault="0032593A" w:rsidP="00DC6E74">
      <w:pPr>
        <w:pStyle w:val="Prrafodelista"/>
        <w:numPr>
          <w:ilvl w:val="0"/>
          <w:numId w:val="13"/>
        </w:numPr>
        <w:spacing w:line="276" w:lineRule="auto"/>
        <w:jc w:val="both"/>
        <w:rPr>
          <w:rFonts w:ascii="Arial" w:hAnsi="Arial" w:cs="Arial"/>
        </w:rPr>
      </w:pPr>
      <w:r w:rsidRPr="003E54FC">
        <w:rPr>
          <w:rFonts w:ascii="Arial" w:hAnsi="Arial" w:cs="Arial"/>
        </w:rPr>
        <w:t>Entidades a cargo: Desarrollo Social, Artesanos de Bolívar</w:t>
      </w:r>
    </w:p>
    <w:p w:rsidR="0032593A" w:rsidRPr="003E54FC" w:rsidRDefault="0032593A" w:rsidP="00DC6E74">
      <w:pPr>
        <w:pStyle w:val="Prrafodelista"/>
        <w:numPr>
          <w:ilvl w:val="0"/>
          <w:numId w:val="13"/>
        </w:numPr>
        <w:spacing w:line="276" w:lineRule="auto"/>
        <w:jc w:val="both"/>
        <w:rPr>
          <w:rFonts w:ascii="Arial" w:hAnsi="Arial" w:cs="Arial"/>
        </w:rPr>
      </w:pPr>
      <w:r w:rsidRPr="003E54FC">
        <w:rPr>
          <w:rFonts w:ascii="Arial" w:hAnsi="Arial" w:cs="Arial"/>
        </w:rPr>
        <w:t>Proyectos:</w:t>
      </w:r>
      <w:r w:rsidRPr="003E54FC">
        <w:rPr>
          <w:rFonts w:ascii="Arial" w:hAnsi="Arial" w:cs="Arial"/>
        </w:rPr>
        <w:tab/>
      </w:r>
    </w:p>
    <w:p w:rsidR="0032593A" w:rsidRPr="003E54FC" w:rsidRDefault="0032593A" w:rsidP="00DC6E74">
      <w:pPr>
        <w:pStyle w:val="Prrafodelista"/>
        <w:numPr>
          <w:ilvl w:val="1"/>
          <w:numId w:val="13"/>
        </w:numPr>
        <w:spacing w:line="276" w:lineRule="auto"/>
        <w:jc w:val="both"/>
        <w:rPr>
          <w:rFonts w:ascii="Arial" w:hAnsi="Arial" w:cs="Arial"/>
        </w:rPr>
      </w:pPr>
      <w:r w:rsidRPr="003E54FC">
        <w:rPr>
          <w:rFonts w:ascii="Arial" w:hAnsi="Arial" w:cs="Arial"/>
        </w:rPr>
        <w:t>Ampliación de cobertura proyecto artesanos de Bolívar</w:t>
      </w:r>
    </w:p>
    <w:p w:rsidR="0032593A" w:rsidRPr="003E54FC" w:rsidRDefault="0032593A" w:rsidP="00056952">
      <w:pPr>
        <w:spacing w:line="276" w:lineRule="auto"/>
        <w:contextualSpacing/>
        <w:jc w:val="both"/>
        <w:rPr>
          <w:rFonts w:ascii="Arial" w:hAnsi="Arial" w:cs="Arial"/>
        </w:rPr>
      </w:pPr>
    </w:p>
    <w:p w:rsidR="0032593A" w:rsidRPr="003E54FC" w:rsidRDefault="0032593A" w:rsidP="00DC6E74">
      <w:pPr>
        <w:pStyle w:val="Prrafodelista"/>
        <w:numPr>
          <w:ilvl w:val="0"/>
          <w:numId w:val="11"/>
        </w:numPr>
        <w:spacing w:line="276" w:lineRule="auto"/>
        <w:ind w:left="709" w:hanging="349"/>
        <w:jc w:val="both"/>
        <w:rPr>
          <w:rFonts w:ascii="Arial" w:hAnsi="Arial" w:cs="Arial"/>
        </w:rPr>
      </w:pPr>
      <w:r>
        <w:rPr>
          <w:rFonts w:ascii="Arial" w:hAnsi="Arial" w:cs="Arial"/>
        </w:rPr>
        <w:lastRenderedPageBreak/>
        <w:t>Trabajo decente</w:t>
      </w:r>
    </w:p>
    <w:p w:rsidR="0032593A" w:rsidRPr="003E54FC" w:rsidRDefault="0032593A" w:rsidP="00056952">
      <w:pPr>
        <w:spacing w:line="276" w:lineRule="auto"/>
        <w:contextualSpacing/>
        <w:jc w:val="both"/>
        <w:rPr>
          <w:rFonts w:ascii="Arial" w:hAnsi="Arial" w:cs="Arial"/>
        </w:rPr>
      </w:pPr>
    </w:p>
    <w:p w:rsidR="0032593A" w:rsidRPr="003E54FC" w:rsidRDefault="0032593A" w:rsidP="00DC6E74">
      <w:pPr>
        <w:pStyle w:val="Prrafodelista"/>
        <w:numPr>
          <w:ilvl w:val="0"/>
          <w:numId w:val="14"/>
        </w:numPr>
        <w:spacing w:line="276" w:lineRule="auto"/>
        <w:jc w:val="both"/>
        <w:rPr>
          <w:rFonts w:ascii="Arial" w:hAnsi="Arial" w:cs="Arial"/>
        </w:rPr>
      </w:pPr>
      <w:r w:rsidRPr="003E54FC">
        <w:rPr>
          <w:rFonts w:ascii="Arial" w:hAnsi="Arial" w:cs="Arial"/>
        </w:rPr>
        <w:t>Entidades a cargo: Subcomisión</w:t>
      </w:r>
    </w:p>
    <w:p w:rsidR="0032593A" w:rsidRPr="003E54FC" w:rsidRDefault="0032593A" w:rsidP="00DC6E74">
      <w:pPr>
        <w:pStyle w:val="Prrafodelista"/>
        <w:numPr>
          <w:ilvl w:val="0"/>
          <w:numId w:val="14"/>
        </w:numPr>
        <w:spacing w:line="276" w:lineRule="auto"/>
        <w:jc w:val="both"/>
        <w:rPr>
          <w:rFonts w:ascii="Arial" w:hAnsi="Arial" w:cs="Arial"/>
        </w:rPr>
      </w:pPr>
      <w:r w:rsidRPr="003E54FC">
        <w:rPr>
          <w:rFonts w:ascii="Arial" w:hAnsi="Arial" w:cs="Arial"/>
        </w:rPr>
        <w:t xml:space="preserve">Proyectos:  </w:t>
      </w:r>
    </w:p>
    <w:p w:rsidR="0032593A" w:rsidRPr="003E54FC" w:rsidRDefault="0032593A" w:rsidP="00DC6E74">
      <w:pPr>
        <w:pStyle w:val="Prrafodelista"/>
        <w:numPr>
          <w:ilvl w:val="1"/>
          <w:numId w:val="14"/>
        </w:numPr>
        <w:spacing w:line="276" w:lineRule="auto"/>
        <w:jc w:val="both"/>
        <w:rPr>
          <w:rFonts w:ascii="Arial" w:hAnsi="Arial" w:cs="Arial"/>
        </w:rPr>
      </w:pPr>
      <w:r w:rsidRPr="003E54FC">
        <w:rPr>
          <w:rFonts w:ascii="Arial" w:hAnsi="Arial" w:cs="Arial"/>
        </w:rPr>
        <w:t>Diseño e implementación de una Política Pública Departamental. de Trabajo Decente</w:t>
      </w:r>
    </w:p>
    <w:p w:rsidR="0032593A" w:rsidRPr="003E54FC" w:rsidRDefault="0032593A" w:rsidP="00056952">
      <w:pPr>
        <w:spacing w:line="276" w:lineRule="auto"/>
        <w:contextualSpacing/>
        <w:jc w:val="both"/>
        <w:rPr>
          <w:rFonts w:ascii="Arial" w:hAnsi="Arial" w:cs="Arial"/>
        </w:rPr>
      </w:pPr>
    </w:p>
    <w:p w:rsidR="0032593A" w:rsidRPr="003E54FC" w:rsidRDefault="0032593A" w:rsidP="00DC6E74">
      <w:pPr>
        <w:pStyle w:val="Prrafodelista"/>
        <w:numPr>
          <w:ilvl w:val="0"/>
          <w:numId w:val="11"/>
        </w:numPr>
        <w:spacing w:line="276" w:lineRule="auto"/>
        <w:ind w:left="709" w:hanging="349"/>
        <w:jc w:val="both"/>
        <w:rPr>
          <w:rFonts w:ascii="Arial" w:hAnsi="Arial" w:cs="Arial"/>
        </w:rPr>
      </w:pPr>
      <w:r w:rsidRPr="003E54FC">
        <w:rPr>
          <w:rFonts w:ascii="Arial" w:hAnsi="Arial" w:cs="Arial"/>
        </w:rPr>
        <w:t xml:space="preserve">Articulación con el Distrito de Cartagena </w:t>
      </w:r>
    </w:p>
    <w:p w:rsidR="0032593A" w:rsidRPr="003E54FC" w:rsidRDefault="0032593A" w:rsidP="00056952">
      <w:pPr>
        <w:pStyle w:val="Prrafodelista"/>
        <w:spacing w:line="276" w:lineRule="auto"/>
        <w:ind w:left="1065"/>
        <w:jc w:val="both"/>
        <w:rPr>
          <w:rFonts w:ascii="Arial" w:hAnsi="Arial" w:cs="Arial"/>
        </w:rPr>
      </w:pPr>
    </w:p>
    <w:p w:rsidR="0032593A" w:rsidRPr="003E54FC" w:rsidRDefault="0032593A" w:rsidP="00DC6E74">
      <w:pPr>
        <w:pStyle w:val="Prrafodelista"/>
        <w:numPr>
          <w:ilvl w:val="0"/>
          <w:numId w:val="15"/>
        </w:numPr>
        <w:spacing w:line="276" w:lineRule="auto"/>
        <w:jc w:val="both"/>
        <w:rPr>
          <w:rFonts w:ascii="Arial" w:hAnsi="Arial" w:cs="Arial"/>
        </w:rPr>
      </w:pPr>
      <w:r w:rsidRPr="003E54FC">
        <w:rPr>
          <w:rFonts w:ascii="Arial" w:hAnsi="Arial" w:cs="Arial"/>
        </w:rPr>
        <w:t>Entidades a cargo: Planeación Distrital, Dir. de Competitividad</w:t>
      </w:r>
    </w:p>
    <w:p w:rsidR="0032593A" w:rsidRPr="003E54FC" w:rsidRDefault="0032593A" w:rsidP="00DC6E74">
      <w:pPr>
        <w:pStyle w:val="Prrafodelista"/>
        <w:numPr>
          <w:ilvl w:val="0"/>
          <w:numId w:val="15"/>
        </w:numPr>
        <w:spacing w:line="276" w:lineRule="auto"/>
        <w:jc w:val="both"/>
        <w:rPr>
          <w:rFonts w:ascii="Arial" w:hAnsi="Arial" w:cs="Arial"/>
        </w:rPr>
      </w:pPr>
      <w:r w:rsidRPr="003E54FC">
        <w:rPr>
          <w:rFonts w:ascii="Arial" w:hAnsi="Arial" w:cs="Arial"/>
        </w:rPr>
        <w:t xml:space="preserve">Proyectos: </w:t>
      </w:r>
    </w:p>
    <w:p w:rsidR="0032593A" w:rsidRPr="003E54FC" w:rsidRDefault="0032593A" w:rsidP="00DC6E74">
      <w:pPr>
        <w:pStyle w:val="Prrafodelista"/>
        <w:numPr>
          <w:ilvl w:val="1"/>
          <w:numId w:val="15"/>
        </w:numPr>
        <w:spacing w:line="276" w:lineRule="auto"/>
        <w:jc w:val="both"/>
        <w:rPr>
          <w:rFonts w:ascii="Arial" w:hAnsi="Arial" w:cs="Arial"/>
        </w:rPr>
      </w:pPr>
      <w:r w:rsidRPr="003E54FC">
        <w:rPr>
          <w:rFonts w:ascii="Arial" w:hAnsi="Arial" w:cs="Arial"/>
        </w:rPr>
        <w:t>Plan de Empleo Distrital</w:t>
      </w:r>
    </w:p>
    <w:p w:rsidR="0032593A" w:rsidRPr="003E54FC" w:rsidRDefault="0032593A" w:rsidP="00DC6E74">
      <w:pPr>
        <w:pStyle w:val="Prrafodelista"/>
        <w:numPr>
          <w:ilvl w:val="1"/>
          <w:numId w:val="15"/>
        </w:numPr>
        <w:spacing w:line="276" w:lineRule="auto"/>
        <w:jc w:val="both"/>
        <w:rPr>
          <w:rFonts w:ascii="Arial" w:hAnsi="Arial" w:cs="Arial"/>
        </w:rPr>
      </w:pPr>
      <w:r w:rsidRPr="003E54FC">
        <w:rPr>
          <w:rFonts w:ascii="Arial" w:hAnsi="Arial" w:cs="Arial"/>
        </w:rPr>
        <w:t>Fondo de Emprendimiento</w:t>
      </w:r>
    </w:p>
    <w:p w:rsidR="0032593A" w:rsidRPr="003E54FC" w:rsidRDefault="0032593A" w:rsidP="00056952">
      <w:pPr>
        <w:spacing w:line="276" w:lineRule="auto"/>
        <w:contextualSpacing/>
        <w:jc w:val="both"/>
        <w:rPr>
          <w:rFonts w:ascii="Arial" w:hAnsi="Arial" w:cs="Arial"/>
        </w:rPr>
      </w:pPr>
    </w:p>
    <w:p w:rsidR="0032593A" w:rsidRPr="003E54FC" w:rsidRDefault="0032593A" w:rsidP="00DC6E74">
      <w:pPr>
        <w:pStyle w:val="Prrafodelista"/>
        <w:numPr>
          <w:ilvl w:val="0"/>
          <w:numId w:val="11"/>
        </w:numPr>
        <w:spacing w:line="276" w:lineRule="auto"/>
        <w:jc w:val="both"/>
        <w:rPr>
          <w:rFonts w:ascii="Arial" w:hAnsi="Arial" w:cs="Arial"/>
        </w:rPr>
      </w:pPr>
      <w:r w:rsidRPr="003E54FC">
        <w:rPr>
          <w:rFonts w:ascii="Arial" w:hAnsi="Arial" w:cs="Arial"/>
        </w:rPr>
        <w:t xml:space="preserve">Enfoques diferenciales: </w:t>
      </w:r>
      <w:proofErr w:type="spellStart"/>
      <w:r w:rsidRPr="003E54FC">
        <w:rPr>
          <w:rFonts w:ascii="Arial" w:hAnsi="Arial" w:cs="Arial"/>
        </w:rPr>
        <w:t>visibilización</w:t>
      </w:r>
      <w:proofErr w:type="spellEnd"/>
      <w:r w:rsidRPr="003E54FC">
        <w:rPr>
          <w:rFonts w:ascii="Arial" w:hAnsi="Arial" w:cs="Arial"/>
        </w:rPr>
        <w:t xml:space="preserve"> de esfuerzos poblacionales y diferenciales en la implementación del plan</w:t>
      </w:r>
    </w:p>
    <w:p w:rsidR="0032593A" w:rsidRPr="003E54FC" w:rsidRDefault="0032593A" w:rsidP="00056952">
      <w:pPr>
        <w:pStyle w:val="Prrafodelista"/>
        <w:spacing w:line="276" w:lineRule="auto"/>
        <w:ind w:left="1065"/>
        <w:jc w:val="both"/>
        <w:rPr>
          <w:rFonts w:ascii="Arial" w:hAnsi="Arial" w:cs="Arial"/>
        </w:rPr>
      </w:pPr>
    </w:p>
    <w:p w:rsidR="0032593A" w:rsidRPr="003E54FC" w:rsidRDefault="0032593A" w:rsidP="00DC6E74">
      <w:pPr>
        <w:pStyle w:val="Prrafodelista"/>
        <w:numPr>
          <w:ilvl w:val="0"/>
          <w:numId w:val="16"/>
        </w:numPr>
        <w:spacing w:line="276" w:lineRule="auto"/>
        <w:jc w:val="both"/>
        <w:rPr>
          <w:rFonts w:ascii="Arial" w:hAnsi="Arial" w:cs="Arial"/>
        </w:rPr>
      </w:pPr>
      <w:r w:rsidRPr="003E54FC">
        <w:rPr>
          <w:rFonts w:ascii="Arial" w:hAnsi="Arial" w:cs="Arial"/>
        </w:rPr>
        <w:t>Víctimas.  Responsable Sec. De Víctimas. Proyecto: Desarrollo Productivo de la Comunidad de Alta Montaña.</w:t>
      </w:r>
    </w:p>
    <w:p w:rsidR="0032593A" w:rsidRPr="003E54FC" w:rsidRDefault="0032593A" w:rsidP="00DC6E74">
      <w:pPr>
        <w:pStyle w:val="Prrafodelista"/>
        <w:numPr>
          <w:ilvl w:val="0"/>
          <w:numId w:val="16"/>
        </w:numPr>
        <w:spacing w:line="276" w:lineRule="auto"/>
        <w:jc w:val="both"/>
        <w:rPr>
          <w:rFonts w:ascii="Arial" w:hAnsi="Arial" w:cs="Arial"/>
        </w:rPr>
      </w:pPr>
      <w:r w:rsidRPr="003E54FC">
        <w:rPr>
          <w:rFonts w:ascii="Arial" w:hAnsi="Arial" w:cs="Arial"/>
        </w:rPr>
        <w:t>Mujeres. Responsable Sec. Desarrollo Social. Proyecto: Mujeres productivas.</w:t>
      </w:r>
    </w:p>
    <w:p w:rsidR="0032593A" w:rsidRPr="003E54FC" w:rsidRDefault="0032593A" w:rsidP="00DC6E74">
      <w:pPr>
        <w:pStyle w:val="Prrafodelista"/>
        <w:numPr>
          <w:ilvl w:val="0"/>
          <w:numId w:val="16"/>
        </w:numPr>
        <w:spacing w:line="276" w:lineRule="auto"/>
        <w:jc w:val="both"/>
        <w:rPr>
          <w:rFonts w:ascii="Arial" w:hAnsi="Arial" w:cs="Arial"/>
        </w:rPr>
      </w:pPr>
      <w:r w:rsidRPr="003E54FC">
        <w:rPr>
          <w:rFonts w:ascii="Arial" w:hAnsi="Arial" w:cs="Arial"/>
        </w:rPr>
        <w:t>Trabajo infantil. Responsable. Subcomisión. Proyecto por definir.</w:t>
      </w:r>
    </w:p>
    <w:p w:rsidR="0032593A" w:rsidRPr="003E54FC" w:rsidRDefault="0032593A" w:rsidP="00DC6E74">
      <w:pPr>
        <w:pStyle w:val="Prrafodelista"/>
        <w:numPr>
          <w:ilvl w:val="0"/>
          <w:numId w:val="16"/>
        </w:numPr>
        <w:spacing w:line="276" w:lineRule="auto"/>
        <w:jc w:val="both"/>
        <w:rPr>
          <w:rFonts w:ascii="Arial" w:hAnsi="Arial" w:cs="Arial"/>
        </w:rPr>
      </w:pPr>
      <w:r w:rsidRPr="003E54FC">
        <w:rPr>
          <w:rFonts w:ascii="Arial" w:hAnsi="Arial" w:cs="Arial"/>
        </w:rPr>
        <w:t xml:space="preserve">Étnico. Responsable Sec. de Victimas, Artesanos de Bolívar. Pendiente proyecto de desarrollo productivo de los Cabildos </w:t>
      </w:r>
      <w:proofErr w:type="spellStart"/>
      <w:r w:rsidRPr="003E54FC">
        <w:rPr>
          <w:rFonts w:ascii="Arial" w:hAnsi="Arial" w:cs="Arial"/>
        </w:rPr>
        <w:t>Zenú</w:t>
      </w:r>
      <w:proofErr w:type="spellEnd"/>
      <w:r w:rsidRPr="003E54FC">
        <w:rPr>
          <w:rFonts w:ascii="Arial" w:hAnsi="Arial" w:cs="Arial"/>
        </w:rPr>
        <w:t xml:space="preserve"> del Departamento.</w:t>
      </w:r>
    </w:p>
    <w:p w:rsidR="0032593A" w:rsidRPr="003E54FC" w:rsidRDefault="0032593A" w:rsidP="00DC6E74">
      <w:pPr>
        <w:pStyle w:val="Prrafodelista"/>
        <w:numPr>
          <w:ilvl w:val="0"/>
          <w:numId w:val="16"/>
        </w:numPr>
        <w:spacing w:line="276" w:lineRule="auto"/>
        <w:jc w:val="both"/>
        <w:rPr>
          <w:rFonts w:ascii="Arial" w:hAnsi="Arial" w:cs="Arial"/>
        </w:rPr>
      </w:pPr>
      <w:r w:rsidRPr="003E54FC">
        <w:rPr>
          <w:rFonts w:ascii="Arial" w:hAnsi="Arial" w:cs="Arial"/>
        </w:rPr>
        <w:t xml:space="preserve">En discapacidad se mencionan unos logros pero no se incluye un proyecto. </w:t>
      </w:r>
    </w:p>
    <w:p w:rsidR="0032593A" w:rsidRPr="003E54FC" w:rsidRDefault="0032593A" w:rsidP="00056952">
      <w:pPr>
        <w:spacing w:line="276" w:lineRule="auto"/>
        <w:jc w:val="both"/>
        <w:rPr>
          <w:rFonts w:ascii="Arial" w:hAnsi="Arial" w:cs="Arial"/>
        </w:rPr>
      </w:pPr>
    </w:p>
    <w:p w:rsidR="0032593A" w:rsidRDefault="0032593A" w:rsidP="00056952">
      <w:pPr>
        <w:spacing w:line="276" w:lineRule="auto"/>
        <w:jc w:val="both"/>
        <w:rPr>
          <w:rFonts w:ascii="Arial" w:hAnsi="Arial" w:cs="Arial"/>
        </w:rPr>
      </w:pPr>
      <w:r w:rsidRPr="00601EF8">
        <w:rPr>
          <w:rFonts w:ascii="Arial" w:hAnsi="Arial" w:cs="Arial"/>
        </w:rPr>
        <w:t>Seguimiento al Plan de Empleo</w:t>
      </w:r>
    </w:p>
    <w:p w:rsidR="00601EF8" w:rsidRPr="00601EF8" w:rsidRDefault="00601EF8" w:rsidP="00056952">
      <w:pPr>
        <w:spacing w:line="276" w:lineRule="auto"/>
        <w:jc w:val="both"/>
        <w:rPr>
          <w:rFonts w:ascii="Arial" w:hAnsi="Arial" w:cs="Arial"/>
        </w:rPr>
      </w:pPr>
    </w:p>
    <w:p w:rsidR="0032593A" w:rsidRPr="00601EF8" w:rsidRDefault="0032593A" w:rsidP="00056952">
      <w:pPr>
        <w:spacing w:line="276" w:lineRule="auto"/>
        <w:jc w:val="both"/>
        <w:rPr>
          <w:rFonts w:ascii="Arial" w:hAnsi="Arial" w:cs="Arial"/>
        </w:rPr>
      </w:pPr>
      <w:r w:rsidRPr="00601EF8">
        <w:rPr>
          <w:rFonts w:ascii="Arial" w:hAnsi="Arial" w:cs="Arial"/>
        </w:rPr>
        <w:t>El seguimiento es una necesidad no solo porque mide la implementación sino porque presentar resultados en generación de empleo es una apuesta políticamente muy rentable. Se pregunta si es el Observatorio del Mercado Laboral el que debe recoger esta información. Se evidencia que debe ser desde la misma dirección de Desarrollo Económica que se recabe esta información por su importancia estratégica. Adicional a esto, se discutió la necesidad de crearle al plan indicadores con el ánimo de medir su seguimiento. Esto se basa en 3 variables de control:</w:t>
      </w:r>
    </w:p>
    <w:p w:rsidR="0032593A" w:rsidRPr="00601EF8" w:rsidRDefault="0032593A" w:rsidP="00DC6E74">
      <w:pPr>
        <w:pStyle w:val="Prrafodelista"/>
        <w:numPr>
          <w:ilvl w:val="0"/>
          <w:numId w:val="17"/>
        </w:numPr>
        <w:spacing w:line="276" w:lineRule="auto"/>
        <w:jc w:val="both"/>
        <w:rPr>
          <w:rFonts w:ascii="Arial" w:hAnsi="Arial" w:cs="Arial"/>
        </w:rPr>
      </w:pPr>
      <w:r w:rsidRPr="00601EF8">
        <w:rPr>
          <w:rFonts w:ascii="Arial" w:hAnsi="Arial" w:cs="Arial"/>
        </w:rPr>
        <w:t>Ocupados</w:t>
      </w:r>
    </w:p>
    <w:p w:rsidR="0032593A" w:rsidRPr="00601EF8" w:rsidRDefault="0032593A" w:rsidP="00DC6E74">
      <w:pPr>
        <w:pStyle w:val="Prrafodelista"/>
        <w:numPr>
          <w:ilvl w:val="0"/>
          <w:numId w:val="17"/>
        </w:numPr>
        <w:spacing w:line="276" w:lineRule="auto"/>
        <w:jc w:val="both"/>
        <w:rPr>
          <w:rFonts w:ascii="Arial" w:hAnsi="Arial" w:cs="Arial"/>
        </w:rPr>
      </w:pPr>
      <w:r w:rsidRPr="00601EF8">
        <w:rPr>
          <w:rFonts w:ascii="Arial" w:hAnsi="Arial" w:cs="Arial"/>
        </w:rPr>
        <w:t>Empleados</w:t>
      </w:r>
    </w:p>
    <w:p w:rsidR="0032593A" w:rsidRPr="00601EF8" w:rsidRDefault="0032593A" w:rsidP="00DC6E74">
      <w:pPr>
        <w:pStyle w:val="Prrafodelista"/>
        <w:numPr>
          <w:ilvl w:val="0"/>
          <w:numId w:val="17"/>
        </w:numPr>
        <w:spacing w:line="276" w:lineRule="auto"/>
        <w:jc w:val="both"/>
        <w:rPr>
          <w:rFonts w:ascii="Arial" w:hAnsi="Arial" w:cs="Arial"/>
        </w:rPr>
      </w:pPr>
      <w:r w:rsidRPr="00601EF8">
        <w:rPr>
          <w:rFonts w:ascii="Arial" w:hAnsi="Arial" w:cs="Arial"/>
        </w:rPr>
        <w:t>Trabajadores decentes</w:t>
      </w:r>
    </w:p>
    <w:p w:rsidR="0032593A" w:rsidRPr="003E54FC" w:rsidRDefault="0032593A" w:rsidP="00056952">
      <w:pPr>
        <w:spacing w:line="276" w:lineRule="auto"/>
        <w:jc w:val="both"/>
        <w:rPr>
          <w:rFonts w:ascii="Arial" w:hAnsi="Arial" w:cs="Arial"/>
        </w:rPr>
      </w:pPr>
    </w:p>
    <w:p w:rsidR="0032593A" w:rsidRDefault="0032593A" w:rsidP="00056952">
      <w:pPr>
        <w:pStyle w:val="Ttulo2"/>
        <w:spacing w:line="276" w:lineRule="auto"/>
        <w:rPr>
          <w:rFonts w:ascii="Arial" w:hAnsi="Arial" w:cs="Arial"/>
          <w:color w:val="C00000"/>
          <w:sz w:val="22"/>
          <w:szCs w:val="22"/>
        </w:rPr>
      </w:pPr>
      <w:bookmarkStart w:id="207" w:name="_Toc385418248"/>
      <w:bookmarkStart w:id="208" w:name="_Toc386007269"/>
      <w:bookmarkStart w:id="209" w:name="_Toc389666646"/>
      <w:r w:rsidRPr="0032593A">
        <w:rPr>
          <w:rFonts w:ascii="Arial" w:hAnsi="Arial" w:cs="Arial"/>
          <w:color w:val="C00000"/>
          <w:sz w:val="22"/>
          <w:szCs w:val="22"/>
        </w:rPr>
        <w:t>7.1 Ejes estratégico 1. Desarrollo y Competitividad</w:t>
      </w:r>
      <w:bookmarkEnd w:id="207"/>
      <w:bookmarkEnd w:id="208"/>
      <w:bookmarkEnd w:id="209"/>
    </w:p>
    <w:p w:rsidR="00601EF8" w:rsidRPr="00601EF8" w:rsidRDefault="00601EF8" w:rsidP="00601EF8"/>
    <w:p w:rsidR="0032593A" w:rsidRDefault="0032593A" w:rsidP="00056952">
      <w:pPr>
        <w:autoSpaceDE w:val="0"/>
        <w:autoSpaceDN w:val="0"/>
        <w:adjustRightInd w:val="0"/>
        <w:spacing w:line="276" w:lineRule="auto"/>
        <w:jc w:val="both"/>
        <w:rPr>
          <w:rFonts w:ascii="Arial" w:hAnsi="Arial" w:cs="Arial"/>
          <w:color w:val="000000"/>
        </w:rPr>
      </w:pPr>
      <w:r w:rsidRPr="003E54FC">
        <w:rPr>
          <w:rFonts w:ascii="Arial" w:hAnsi="Arial" w:cs="Arial"/>
          <w:color w:val="000000"/>
        </w:rPr>
        <w:t>Este eje tiene como fin identificar los sectores de mayor crecimiento y potencializar otros que apunten a mejorar la productividad y competitividad del departamento, aprovechando las vocaciones y apuestas productivas de cada región.</w:t>
      </w:r>
    </w:p>
    <w:p w:rsidR="00601EF8" w:rsidRPr="003E54FC" w:rsidRDefault="00601EF8" w:rsidP="00056952">
      <w:pPr>
        <w:autoSpaceDE w:val="0"/>
        <w:autoSpaceDN w:val="0"/>
        <w:adjustRightInd w:val="0"/>
        <w:spacing w:line="276" w:lineRule="auto"/>
        <w:jc w:val="both"/>
        <w:rPr>
          <w:rFonts w:ascii="Arial" w:hAnsi="Arial" w:cs="Arial"/>
          <w:color w:val="000000"/>
        </w:rPr>
      </w:pPr>
    </w:p>
    <w:p w:rsidR="00601EF8"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p>
    <w:p w:rsidR="0032593A" w:rsidRPr="00601EF8" w:rsidRDefault="0032593A" w:rsidP="00601EF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color w:val="C00000"/>
        </w:rPr>
      </w:pPr>
      <w:r w:rsidRPr="00601EF8">
        <w:rPr>
          <w:rFonts w:ascii="Arial" w:hAnsi="Arial" w:cs="Arial"/>
          <w:b/>
          <w:bCs/>
          <w:color w:val="C00000"/>
        </w:rPr>
        <w:lastRenderedPageBreak/>
        <w:t>Proyecto 1. Implementación de 360 has de cacao/plátano para beneficiar a 180 productores localizados en el Municipio de El Carmen de Bolívar, San Jacinto y San Juan Nepomuceno en el Departamento de Bolívar.</w:t>
      </w:r>
    </w:p>
    <w:p w:rsidR="00601EF8" w:rsidRPr="0032593A"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
          <w:bCs/>
        </w:rPr>
        <w:t xml:space="preserve">Objetivo: </w:t>
      </w:r>
      <w:r w:rsidRPr="003E54FC">
        <w:rPr>
          <w:rFonts w:ascii="Arial" w:hAnsi="Arial" w:cs="Arial"/>
          <w:bCs/>
        </w:rPr>
        <w:t>Generar ingresos a los campesinos, de manera que estos puedan sostener la producción de 360 Hectáreas de cacao en zonas rurales de los Municipios de San Jacinto, el Carmen de bolívar, y San Juan Nepomuceno, en el Departamento de Bolívar.</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
          <w:bCs/>
        </w:rPr>
        <w:t>Descripción</w:t>
      </w:r>
      <w:r w:rsidRPr="003E54FC">
        <w:rPr>
          <w:rFonts w:ascii="Arial" w:hAnsi="Arial" w:cs="Arial"/>
          <w:bCs/>
        </w:rPr>
        <w:t>: La mayoría de los productores desde hace escasos 5 años ha retornado a sus parcelas después de un largo periodo de violencia en la zona y aun durante este lapso de tiempo no han tenido un adecuado acompañamiento institucional, tienen bajo nivel socio empresarial y técnico, sus cultivos aún se explotan de manera tradicional, con poca rentabilidad.</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Estado:</w:t>
      </w:r>
      <w:r w:rsidRPr="003E54FC">
        <w:rPr>
          <w:color w:val="000000"/>
          <w:sz w:val="22"/>
          <w:szCs w:val="22"/>
        </w:rPr>
        <w:t xml:space="preserve"> Formulación</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bCs/>
          <w:sz w:val="22"/>
          <w:szCs w:val="22"/>
        </w:rPr>
      </w:pPr>
      <w:r w:rsidRPr="003E54FC">
        <w:rPr>
          <w:b/>
          <w:bCs/>
          <w:sz w:val="22"/>
          <w:szCs w:val="22"/>
        </w:rPr>
        <w:t xml:space="preserve">Entidades vinculadas: </w:t>
      </w:r>
      <w:r w:rsidRPr="003E54FC">
        <w:rPr>
          <w:bCs/>
          <w:sz w:val="22"/>
          <w:szCs w:val="22"/>
        </w:rPr>
        <w:t>Gobernación de Bolívar, Alcaldía de Carmen de Bolívar, Alcaldía de San Jacinto y San Juan de Nepomuceno.</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 xml:space="preserve">Entidad Líder: </w:t>
      </w:r>
      <w:r w:rsidRPr="003E54FC">
        <w:rPr>
          <w:bCs/>
          <w:sz w:val="22"/>
          <w:szCs w:val="22"/>
        </w:rPr>
        <w:t>Gobernación de Bolívar</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 xml:space="preserve">Localización: </w:t>
      </w:r>
      <w:r w:rsidRPr="003E54FC">
        <w:rPr>
          <w:bCs/>
          <w:sz w:val="22"/>
          <w:szCs w:val="22"/>
        </w:rPr>
        <w:t>Departamento de Bolívar</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Actividades principales:</w:t>
      </w:r>
      <w:r w:rsidRPr="003E54FC">
        <w:rPr>
          <w:bCs/>
          <w:sz w:val="22"/>
          <w:szCs w:val="22"/>
        </w:rPr>
        <w:t xml:space="preserve"> Asistencia técnica y capacitación, generación de las estrategias de verificación y supervisión del proyecto, interventoría, preparación del terreno y demás.</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E54FC">
        <w:rPr>
          <w:rFonts w:ascii="Arial" w:hAnsi="Arial" w:cs="Arial"/>
          <w:b/>
          <w:bCs/>
        </w:rPr>
        <w:t xml:space="preserve">Meta: </w:t>
      </w:r>
      <w:r w:rsidRPr="003E54FC">
        <w:rPr>
          <w:rFonts w:ascii="Arial" w:hAnsi="Arial" w:cs="Arial"/>
          <w:bCs/>
        </w:rPr>
        <w:t>360 hectáreas sembradas con cacao agroforestal.</w:t>
      </w:r>
      <w:r w:rsidRPr="003E54FC">
        <w:rPr>
          <w:rFonts w:ascii="Arial" w:hAnsi="Arial" w:cs="Arial"/>
          <w:b/>
          <w:bCs/>
        </w:rPr>
        <w:t xml:space="preserve"> </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
          <w:bCs/>
        </w:rPr>
        <w:t xml:space="preserve">Valor del proyecto: </w:t>
      </w:r>
      <w:r w:rsidRPr="003E54FC">
        <w:rPr>
          <w:rFonts w:ascii="Arial" w:hAnsi="Arial" w:cs="Arial"/>
          <w:bCs/>
        </w:rPr>
        <w:t>3.621.890.000 de pesos.</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3E54FC">
        <w:rPr>
          <w:rFonts w:ascii="Arial" w:hAnsi="Arial" w:cs="Arial"/>
          <w:b/>
          <w:bCs/>
        </w:rPr>
        <w:t xml:space="preserve">Horizonte en el tiempo: </w:t>
      </w:r>
      <w:r w:rsidRPr="003E54FC">
        <w:rPr>
          <w:rFonts w:ascii="Arial" w:hAnsi="Arial" w:cs="Arial"/>
          <w:bCs/>
        </w:rPr>
        <w:t>Mediano plazo.</w:t>
      </w:r>
    </w:p>
    <w:p w:rsidR="0032593A" w:rsidRPr="003E54FC" w:rsidRDefault="0032593A" w:rsidP="00056952">
      <w:pPr>
        <w:spacing w:line="276" w:lineRule="auto"/>
        <w:contextualSpacing/>
        <w:jc w:val="both"/>
        <w:rPr>
          <w:rFonts w:ascii="Arial" w:hAnsi="Arial" w:cs="Arial"/>
        </w:rPr>
      </w:pPr>
    </w:p>
    <w:p w:rsidR="00601EF8"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p>
    <w:p w:rsidR="0032593A" w:rsidRPr="00601EF8" w:rsidRDefault="0032593A" w:rsidP="00601EF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color w:val="C00000"/>
        </w:rPr>
      </w:pPr>
      <w:r w:rsidRPr="00601EF8">
        <w:rPr>
          <w:rFonts w:ascii="Arial" w:hAnsi="Arial" w:cs="Arial"/>
          <w:b/>
          <w:bCs/>
          <w:color w:val="C00000"/>
        </w:rPr>
        <w:t xml:space="preserve">Proyecto 2. Implementación de 120 hectáreas de </w:t>
      </w:r>
      <w:proofErr w:type="spellStart"/>
      <w:r w:rsidRPr="00601EF8">
        <w:rPr>
          <w:rFonts w:ascii="Arial" w:hAnsi="Arial" w:cs="Arial"/>
          <w:b/>
          <w:bCs/>
          <w:color w:val="C00000"/>
        </w:rPr>
        <w:t>Jatropha</w:t>
      </w:r>
      <w:proofErr w:type="spellEnd"/>
      <w:r w:rsidRPr="00601EF8">
        <w:rPr>
          <w:rFonts w:ascii="Arial" w:hAnsi="Arial" w:cs="Arial"/>
          <w:b/>
          <w:bCs/>
          <w:color w:val="C00000"/>
        </w:rPr>
        <w:t xml:space="preserve"> curcas (</w:t>
      </w:r>
      <w:proofErr w:type="spellStart"/>
      <w:r w:rsidRPr="00601EF8">
        <w:rPr>
          <w:rFonts w:ascii="Arial" w:hAnsi="Arial" w:cs="Arial"/>
          <w:b/>
          <w:bCs/>
          <w:color w:val="C00000"/>
        </w:rPr>
        <w:t>piñon</w:t>
      </w:r>
      <w:proofErr w:type="spellEnd"/>
      <w:r w:rsidRPr="00601EF8">
        <w:rPr>
          <w:rFonts w:ascii="Arial" w:hAnsi="Arial" w:cs="Arial"/>
          <w:b/>
          <w:bCs/>
          <w:color w:val="C00000"/>
        </w:rPr>
        <w:t xml:space="preserve">) para beneficiar a 30 Pequeños productores localizados en las veredas de los Municipios de </w:t>
      </w:r>
      <w:proofErr w:type="spellStart"/>
      <w:r w:rsidRPr="00601EF8">
        <w:rPr>
          <w:rFonts w:ascii="Arial" w:hAnsi="Arial" w:cs="Arial"/>
          <w:b/>
          <w:bCs/>
          <w:color w:val="C00000"/>
        </w:rPr>
        <w:t>Turbaco</w:t>
      </w:r>
      <w:proofErr w:type="spellEnd"/>
      <w:r w:rsidRPr="00601EF8">
        <w:rPr>
          <w:rFonts w:ascii="Arial" w:hAnsi="Arial" w:cs="Arial"/>
          <w:b/>
          <w:bCs/>
          <w:color w:val="C00000"/>
        </w:rPr>
        <w:t xml:space="preserve"> y </w:t>
      </w:r>
      <w:proofErr w:type="spellStart"/>
      <w:r w:rsidRPr="00601EF8">
        <w:rPr>
          <w:rFonts w:ascii="Arial" w:hAnsi="Arial" w:cs="Arial"/>
          <w:b/>
          <w:bCs/>
          <w:color w:val="C00000"/>
        </w:rPr>
        <w:t>Mahates</w:t>
      </w:r>
      <w:proofErr w:type="spellEnd"/>
      <w:r w:rsidRPr="00601EF8">
        <w:rPr>
          <w:rFonts w:ascii="Arial" w:hAnsi="Arial" w:cs="Arial"/>
          <w:b/>
          <w:bCs/>
          <w:color w:val="C00000"/>
        </w:rPr>
        <w:t xml:space="preserve"> en el Marco del Plan de Desarrollo Bolívar Ganador.</w:t>
      </w:r>
    </w:p>
    <w:p w:rsidR="00601EF8" w:rsidRPr="0032593A"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2593A">
        <w:rPr>
          <w:rFonts w:ascii="Arial" w:hAnsi="Arial" w:cs="Arial"/>
          <w:b/>
          <w:bCs/>
        </w:rPr>
        <w:t xml:space="preserve">Objetivo: </w:t>
      </w:r>
      <w:r w:rsidRPr="0032593A">
        <w:rPr>
          <w:rFonts w:ascii="Arial" w:hAnsi="Arial" w:cs="Arial"/>
          <w:bCs/>
        </w:rPr>
        <w:t xml:space="preserve">Implementación, sostenimiento y comercialización de 120 hectáreas de </w:t>
      </w:r>
      <w:proofErr w:type="spellStart"/>
      <w:r w:rsidRPr="0032593A">
        <w:rPr>
          <w:rFonts w:ascii="Arial" w:hAnsi="Arial" w:cs="Arial"/>
          <w:bCs/>
        </w:rPr>
        <w:t>Jatropha</w:t>
      </w:r>
      <w:proofErr w:type="spellEnd"/>
      <w:r w:rsidRPr="0032593A">
        <w:rPr>
          <w:rFonts w:ascii="Arial" w:hAnsi="Arial" w:cs="Arial"/>
          <w:bCs/>
        </w:rPr>
        <w:t xml:space="preserve"> Curcas (Piñón) en zonas rurales de los Municipios de </w:t>
      </w:r>
      <w:proofErr w:type="spellStart"/>
      <w:r w:rsidRPr="0032593A">
        <w:rPr>
          <w:rFonts w:ascii="Arial" w:hAnsi="Arial" w:cs="Arial"/>
          <w:bCs/>
        </w:rPr>
        <w:t>Turbaco</w:t>
      </w:r>
      <w:proofErr w:type="spellEnd"/>
      <w:r w:rsidRPr="0032593A">
        <w:rPr>
          <w:rFonts w:ascii="Arial" w:hAnsi="Arial" w:cs="Arial"/>
          <w:bCs/>
        </w:rPr>
        <w:t xml:space="preserve"> y </w:t>
      </w:r>
      <w:proofErr w:type="spellStart"/>
      <w:r w:rsidRPr="0032593A">
        <w:rPr>
          <w:rFonts w:ascii="Arial" w:hAnsi="Arial" w:cs="Arial"/>
          <w:bCs/>
        </w:rPr>
        <w:t>Mahates</w:t>
      </w:r>
      <w:proofErr w:type="spellEnd"/>
      <w:r w:rsidRPr="0032593A">
        <w:rPr>
          <w:rFonts w:ascii="Arial" w:hAnsi="Arial" w:cs="Arial"/>
          <w:bCs/>
        </w:rPr>
        <w:t xml:space="preserve"> en el</w:t>
      </w:r>
      <w:r w:rsidRPr="003E54FC">
        <w:rPr>
          <w:rFonts w:ascii="Arial" w:hAnsi="Arial" w:cs="Arial"/>
          <w:bCs/>
        </w:rPr>
        <w:t xml:space="preserve"> departamento de Bolívar.</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
          <w:bCs/>
        </w:rPr>
        <w:t xml:space="preserve">Descripción: </w:t>
      </w:r>
      <w:r w:rsidRPr="003E54FC">
        <w:rPr>
          <w:rFonts w:ascii="Arial" w:hAnsi="Arial" w:cs="Arial"/>
          <w:bCs/>
        </w:rPr>
        <w:t xml:space="preserve">Actualmente existen 30 familias productoras agrícolas que disponen de tierras que no son aptas para la siembra de los cultivos tradicionales a los que éstas comunidades se les hace más fácil acceder, así como también la afectación por veranos intensos, la falta de recursos económicos, asistencia técnica y la falta de conocimientos técnicos agrícolas en diferentes cultivos, no les permite identificar el tipo de producto más apto para la explotación de sus terrenos, que los haga más productivos y competitivos y por tanto más rentable. </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Cs/>
        </w:rPr>
        <w:t xml:space="preserve">Por lo tanto se hace necesario, tomar como alternativa de solución a este problema, la siembra de JATROPHAS CURCAS, la cual es una especie de semilla que resiste en alto grado la sequía y prospera con apenas 250 a 600 mm de lluvia al año, condición importante para obtener mejores rendimientos con este tipo de cultivo con relación a los tradicionales que son más exigentes en agua y fertilidad de suelos. El uso de </w:t>
      </w:r>
      <w:r w:rsidRPr="003E54FC">
        <w:rPr>
          <w:rFonts w:ascii="Arial" w:hAnsi="Arial" w:cs="Arial"/>
          <w:bCs/>
        </w:rPr>
        <w:lastRenderedPageBreak/>
        <w:t xml:space="preserve">pesticidas se da en menor proporción debido a que la planta de </w:t>
      </w:r>
      <w:proofErr w:type="spellStart"/>
      <w:r w:rsidRPr="003E54FC">
        <w:rPr>
          <w:rFonts w:ascii="Arial" w:hAnsi="Arial" w:cs="Arial"/>
          <w:bCs/>
        </w:rPr>
        <w:t>Jatropha</w:t>
      </w:r>
      <w:proofErr w:type="spellEnd"/>
      <w:r w:rsidRPr="003E54FC">
        <w:rPr>
          <w:rFonts w:ascii="Arial" w:hAnsi="Arial" w:cs="Arial"/>
          <w:bCs/>
        </w:rPr>
        <w:t xml:space="preserve">, según estudios actualizados es poco propensa al ataque de plagas y enfermedades. </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E54FC">
        <w:rPr>
          <w:rFonts w:ascii="Arial" w:hAnsi="Arial" w:cs="Arial"/>
          <w:bCs/>
        </w:rPr>
        <w:t xml:space="preserve">Esta planta alcanza una vida útil de hasta 40 años y a partir del procesamiento de su semilla se obtiene </w:t>
      </w:r>
      <w:proofErr w:type="spellStart"/>
      <w:r w:rsidRPr="003E54FC">
        <w:rPr>
          <w:rFonts w:ascii="Arial" w:hAnsi="Arial" w:cs="Arial"/>
          <w:bCs/>
        </w:rPr>
        <w:t>bio-disel</w:t>
      </w:r>
      <w:proofErr w:type="spellEnd"/>
      <w:r w:rsidRPr="003E54FC">
        <w:rPr>
          <w:rFonts w:ascii="Arial" w:hAnsi="Arial" w:cs="Arial"/>
          <w:bCs/>
        </w:rPr>
        <w:t xml:space="preserve"> de excelente calidad contribuyendo a disminuir la contaminación ambiental originado por el combustible a partir de fósiles y como sustituto de ellos. Por lo anterior el producto tiene una alta demanda en mercado nacional e internacional.</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Estado:</w:t>
      </w:r>
      <w:r w:rsidRPr="003E54FC">
        <w:rPr>
          <w:color w:val="000000"/>
          <w:sz w:val="22"/>
          <w:szCs w:val="22"/>
        </w:rPr>
        <w:t xml:space="preserve"> Formulación.</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E54FC">
        <w:rPr>
          <w:rFonts w:ascii="Arial" w:hAnsi="Arial" w:cs="Arial"/>
          <w:b/>
          <w:bCs/>
        </w:rPr>
        <w:t xml:space="preserve">Entidades vinculadas: </w:t>
      </w:r>
      <w:r w:rsidRPr="003E54FC">
        <w:rPr>
          <w:rFonts w:ascii="Arial" w:hAnsi="Arial" w:cs="Arial"/>
          <w:bCs/>
        </w:rPr>
        <w:t xml:space="preserve">Gobernación de Bolívar y Alcaldía de </w:t>
      </w:r>
      <w:proofErr w:type="spellStart"/>
      <w:r w:rsidRPr="003E54FC">
        <w:rPr>
          <w:rFonts w:ascii="Arial" w:hAnsi="Arial" w:cs="Arial"/>
          <w:bCs/>
        </w:rPr>
        <w:t>Turbaco</w:t>
      </w:r>
      <w:proofErr w:type="spellEnd"/>
      <w:r w:rsidRPr="003E54FC">
        <w:rPr>
          <w:rFonts w:ascii="Arial" w:hAnsi="Arial" w:cs="Arial"/>
          <w:bCs/>
        </w:rPr>
        <w:t xml:space="preserve"> y </w:t>
      </w:r>
      <w:proofErr w:type="spellStart"/>
      <w:r w:rsidRPr="003E54FC">
        <w:rPr>
          <w:rFonts w:ascii="Arial" w:hAnsi="Arial" w:cs="Arial"/>
          <w:bCs/>
        </w:rPr>
        <w:t>Mahates</w:t>
      </w:r>
      <w:proofErr w:type="spellEnd"/>
      <w:r w:rsidRPr="003E54FC">
        <w:rPr>
          <w:rFonts w:ascii="Arial" w:hAnsi="Arial" w:cs="Arial"/>
          <w:bCs/>
        </w:rPr>
        <w:t>.</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 xml:space="preserve">Entidad Líder: </w:t>
      </w:r>
      <w:r w:rsidRPr="003E54FC">
        <w:rPr>
          <w:bCs/>
          <w:sz w:val="22"/>
          <w:szCs w:val="22"/>
        </w:rPr>
        <w:t>Gobernación de Bolívar.</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 xml:space="preserve">Localización: </w:t>
      </w:r>
      <w:r w:rsidRPr="003E54FC">
        <w:rPr>
          <w:bCs/>
          <w:sz w:val="22"/>
          <w:szCs w:val="22"/>
        </w:rPr>
        <w:t>Departamento de Bolívar.</w:t>
      </w:r>
    </w:p>
    <w:p w:rsidR="0032593A" w:rsidRPr="003E54FC"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color w:val="000000"/>
          <w:sz w:val="22"/>
          <w:szCs w:val="22"/>
        </w:rPr>
      </w:pPr>
      <w:r w:rsidRPr="003E54FC">
        <w:rPr>
          <w:b/>
          <w:bCs/>
          <w:sz w:val="22"/>
          <w:szCs w:val="22"/>
        </w:rPr>
        <w:t xml:space="preserve">Actividades principales: </w:t>
      </w:r>
      <w:r w:rsidRPr="003E54FC">
        <w:rPr>
          <w:bCs/>
          <w:sz w:val="22"/>
          <w:szCs w:val="22"/>
        </w:rPr>
        <w:t>Interventoría técnica y financiera del proyecto, cosecha, desarrollo del plan ambiental, preparación del terreno, siembra, asistencia técnica, capacitación y transferencia tecnológica y desarrollo del plan social.</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3E54FC">
        <w:rPr>
          <w:rFonts w:ascii="Arial" w:hAnsi="Arial" w:cs="Arial"/>
          <w:b/>
          <w:bCs/>
        </w:rPr>
        <w:t xml:space="preserve">Metas: </w:t>
      </w:r>
      <w:r w:rsidRPr="003E54FC">
        <w:rPr>
          <w:rFonts w:ascii="Arial" w:hAnsi="Arial" w:cs="Arial"/>
          <w:bCs/>
        </w:rPr>
        <w:t>120 hectáreas de</w:t>
      </w:r>
      <w:r w:rsidRPr="003E54FC">
        <w:rPr>
          <w:rFonts w:ascii="Arial" w:hAnsi="Arial" w:cs="Arial"/>
          <w:b/>
          <w:bCs/>
        </w:rPr>
        <w:t xml:space="preserve"> </w:t>
      </w:r>
      <w:proofErr w:type="spellStart"/>
      <w:r w:rsidRPr="003E54FC">
        <w:rPr>
          <w:rFonts w:ascii="Arial" w:hAnsi="Arial" w:cs="Arial"/>
        </w:rPr>
        <w:t>Jatropha</w:t>
      </w:r>
      <w:proofErr w:type="spellEnd"/>
      <w:r w:rsidRPr="003E54FC">
        <w:rPr>
          <w:rFonts w:ascii="Arial" w:hAnsi="Arial" w:cs="Arial"/>
        </w:rPr>
        <w:t xml:space="preserve"> Curcas, que beneficiara a 30 familias de productores de los municipios de </w:t>
      </w:r>
      <w:proofErr w:type="spellStart"/>
      <w:r w:rsidRPr="003E54FC">
        <w:rPr>
          <w:rFonts w:ascii="Arial" w:hAnsi="Arial" w:cs="Arial"/>
        </w:rPr>
        <w:t>Turbaco</w:t>
      </w:r>
      <w:proofErr w:type="spellEnd"/>
      <w:r w:rsidRPr="003E54FC">
        <w:rPr>
          <w:rFonts w:ascii="Arial" w:hAnsi="Arial" w:cs="Arial"/>
        </w:rPr>
        <w:t xml:space="preserve"> - </w:t>
      </w:r>
      <w:proofErr w:type="spellStart"/>
      <w:r w:rsidRPr="003E54FC">
        <w:rPr>
          <w:rFonts w:ascii="Arial" w:hAnsi="Arial" w:cs="Arial"/>
        </w:rPr>
        <w:t>Mahates</w:t>
      </w:r>
      <w:proofErr w:type="spellEnd"/>
      <w:r w:rsidRPr="003E54FC">
        <w:rPr>
          <w:rFonts w:ascii="Arial" w:hAnsi="Arial" w:cs="Arial"/>
        </w:rPr>
        <w:t xml:space="preserve"> departamento de Bolívar.</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E54FC">
        <w:rPr>
          <w:rFonts w:ascii="Arial" w:hAnsi="Arial" w:cs="Arial"/>
          <w:b/>
          <w:bCs/>
        </w:rPr>
        <w:t xml:space="preserve">Valor del proyecto: </w:t>
      </w:r>
      <w:r w:rsidRPr="003E54FC">
        <w:rPr>
          <w:rFonts w:ascii="Arial" w:hAnsi="Arial" w:cs="Arial"/>
          <w:bCs/>
        </w:rPr>
        <w:t>$</w:t>
      </w:r>
      <w:r w:rsidRPr="003E54FC">
        <w:rPr>
          <w:rFonts w:ascii="Arial" w:hAnsi="Arial" w:cs="Arial"/>
          <w:b/>
          <w:bCs/>
        </w:rPr>
        <w:t xml:space="preserve"> </w:t>
      </w:r>
      <w:r w:rsidRPr="003E54FC">
        <w:rPr>
          <w:rFonts w:ascii="Arial" w:hAnsi="Arial" w:cs="Arial"/>
        </w:rPr>
        <w:t>1.127.200.000 de pesos</w:t>
      </w:r>
    </w:p>
    <w:p w:rsidR="0032593A" w:rsidRPr="003E54FC"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3E54FC">
        <w:rPr>
          <w:rFonts w:ascii="Arial" w:hAnsi="Arial" w:cs="Arial"/>
          <w:b/>
          <w:bCs/>
        </w:rPr>
        <w:t xml:space="preserve">Horizonte en el tiempo: </w:t>
      </w:r>
      <w:r w:rsidRPr="003E54FC">
        <w:rPr>
          <w:rFonts w:ascii="Arial" w:hAnsi="Arial" w:cs="Arial"/>
          <w:bCs/>
        </w:rPr>
        <w:t>Mediano plazo.</w:t>
      </w:r>
    </w:p>
    <w:p w:rsidR="009351FC" w:rsidRDefault="009351FC" w:rsidP="00056952">
      <w:pPr>
        <w:pStyle w:val="Ttulo2"/>
        <w:spacing w:line="276" w:lineRule="auto"/>
        <w:jc w:val="both"/>
        <w:rPr>
          <w:rFonts w:ascii="Arial" w:hAnsi="Arial" w:cs="Arial"/>
          <w:color w:val="C00000"/>
          <w:sz w:val="22"/>
          <w:szCs w:val="22"/>
        </w:rPr>
      </w:pPr>
      <w:bookmarkStart w:id="210" w:name="_Toc385418249"/>
      <w:bookmarkStart w:id="211" w:name="_Toc386007270"/>
    </w:p>
    <w:p w:rsidR="0032593A" w:rsidRPr="0032593A" w:rsidRDefault="0032593A" w:rsidP="00056952">
      <w:pPr>
        <w:pStyle w:val="Ttulo2"/>
        <w:spacing w:line="276" w:lineRule="auto"/>
        <w:jc w:val="both"/>
        <w:rPr>
          <w:rFonts w:ascii="Arial" w:hAnsi="Arial" w:cs="Arial"/>
          <w:color w:val="C00000"/>
          <w:sz w:val="22"/>
          <w:szCs w:val="22"/>
        </w:rPr>
      </w:pPr>
      <w:bookmarkStart w:id="212" w:name="_Toc389666647"/>
      <w:r w:rsidRPr="0032593A">
        <w:rPr>
          <w:rFonts w:ascii="Arial" w:hAnsi="Arial" w:cs="Arial"/>
          <w:color w:val="C00000"/>
          <w:sz w:val="22"/>
          <w:szCs w:val="22"/>
        </w:rPr>
        <w:t>7.2 Eje estratégico 2. Promoción y fortalecimiento de emprendimientos</w:t>
      </w:r>
      <w:bookmarkEnd w:id="210"/>
      <w:bookmarkEnd w:id="211"/>
      <w:bookmarkEnd w:id="212"/>
      <w:r w:rsidRPr="0032593A">
        <w:rPr>
          <w:rFonts w:ascii="Arial" w:hAnsi="Arial" w:cs="Arial"/>
          <w:color w:val="C00000"/>
          <w:sz w:val="22"/>
          <w:szCs w:val="22"/>
        </w:rPr>
        <w:t xml:space="preserve"> </w:t>
      </w:r>
    </w:p>
    <w:p w:rsidR="0032593A" w:rsidRPr="0032593A" w:rsidRDefault="0032593A" w:rsidP="00056952">
      <w:pPr>
        <w:spacing w:line="276" w:lineRule="auto"/>
        <w:contextualSpacing/>
        <w:jc w:val="both"/>
        <w:rPr>
          <w:rFonts w:ascii="Arial" w:hAnsi="Arial" w:cs="Arial"/>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4"/>
      </w:tblGrid>
      <w:tr w:rsidR="0032593A" w:rsidRPr="003E54FC" w:rsidTr="000E14A3">
        <w:tc>
          <w:tcPr>
            <w:tcW w:w="8714" w:type="dxa"/>
            <w:tcBorders>
              <w:top w:val="nil"/>
              <w:left w:val="nil"/>
              <w:bottom w:val="nil"/>
              <w:right w:val="nil"/>
            </w:tcBorders>
          </w:tcPr>
          <w:p w:rsidR="0032593A" w:rsidRPr="003E54FC" w:rsidRDefault="0032593A" w:rsidP="00056952">
            <w:pPr>
              <w:spacing w:line="276" w:lineRule="auto"/>
              <w:jc w:val="both"/>
              <w:rPr>
                <w:rFonts w:ascii="Arial" w:hAnsi="Arial" w:cs="Arial"/>
              </w:rPr>
            </w:pPr>
            <w:r w:rsidRPr="003E54FC">
              <w:rPr>
                <w:rFonts w:ascii="Arial" w:hAnsi="Arial" w:cs="Arial"/>
                <w:bCs/>
              </w:rPr>
              <w:t xml:space="preserve">Este eje busca fortalecer los procesos de asociatividad, la capacidad técnica y los servicios que faciliten el desarrollo de iniciativas empresariales enfocadas en las apuestas y vocaciones productivas del departamento, que </w:t>
            </w:r>
            <w:r>
              <w:rPr>
                <w:rFonts w:ascii="Arial" w:hAnsi="Arial" w:cs="Arial"/>
                <w:bCs/>
              </w:rPr>
              <w:t>finalmente repercutan en</w:t>
            </w:r>
            <w:r w:rsidRPr="003E54FC">
              <w:rPr>
                <w:rFonts w:ascii="Arial" w:hAnsi="Arial" w:cs="Arial"/>
                <w:bCs/>
              </w:rPr>
              <w:t xml:space="preserve"> la mejora de los ingresos y la generación de nuevos empleos.</w:t>
            </w:r>
          </w:p>
        </w:tc>
      </w:tr>
      <w:tr w:rsidR="0032593A" w:rsidRPr="003E54FC" w:rsidTr="000E14A3">
        <w:tc>
          <w:tcPr>
            <w:tcW w:w="8714" w:type="dxa"/>
            <w:tcBorders>
              <w:top w:val="nil"/>
              <w:left w:val="nil"/>
              <w:bottom w:val="nil"/>
              <w:right w:val="nil"/>
            </w:tcBorders>
            <w:shd w:val="clear" w:color="auto" w:fill="FFFFFF"/>
          </w:tcPr>
          <w:p w:rsidR="0032593A" w:rsidRPr="0032593A" w:rsidRDefault="0032593A" w:rsidP="00056952">
            <w:pPr>
              <w:spacing w:line="276" w:lineRule="auto"/>
              <w:rPr>
                <w:rFonts w:ascii="Arial" w:hAnsi="Arial" w:cs="Arial"/>
                <w:lang w:eastAsia="x-none"/>
              </w:rPr>
            </w:pPr>
          </w:p>
          <w:p w:rsidR="0032593A" w:rsidRPr="0032593A" w:rsidRDefault="0032593A" w:rsidP="00056952">
            <w:pPr>
              <w:spacing w:line="276" w:lineRule="auto"/>
              <w:rPr>
                <w:rFonts w:ascii="Arial" w:hAnsi="Arial" w:cs="Arial"/>
                <w:lang w:eastAsia="x-none"/>
              </w:rPr>
            </w:pPr>
          </w:p>
          <w:p w:rsidR="00601EF8" w:rsidRDefault="00601EF8" w:rsidP="00601EF8">
            <w:pPr>
              <w:pBdr>
                <w:top w:val="single" w:sz="4" w:space="1" w:color="auto"/>
                <w:bottom w:val="single" w:sz="4" w:space="1" w:color="auto"/>
              </w:pBdr>
              <w:spacing w:line="276" w:lineRule="auto"/>
              <w:jc w:val="both"/>
              <w:rPr>
                <w:rFonts w:ascii="Arial" w:hAnsi="Arial" w:cs="Arial"/>
                <w:b/>
                <w:bCs/>
              </w:rPr>
            </w:pPr>
          </w:p>
          <w:p w:rsidR="0032593A" w:rsidRPr="00601EF8" w:rsidRDefault="0032593A" w:rsidP="00601EF8">
            <w:pPr>
              <w:pBdr>
                <w:top w:val="single" w:sz="4" w:space="1" w:color="auto"/>
                <w:bottom w:val="single" w:sz="4" w:space="1" w:color="auto"/>
              </w:pBdr>
              <w:spacing w:line="276" w:lineRule="auto"/>
              <w:jc w:val="center"/>
              <w:rPr>
                <w:rFonts w:ascii="Arial" w:hAnsi="Arial" w:cs="Arial"/>
                <w:b/>
                <w:bCs/>
                <w:color w:val="C00000"/>
              </w:rPr>
            </w:pPr>
            <w:r w:rsidRPr="00601EF8">
              <w:rPr>
                <w:rFonts w:ascii="Arial" w:hAnsi="Arial" w:cs="Arial"/>
                <w:b/>
                <w:bCs/>
                <w:color w:val="C00000"/>
              </w:rPr>
              <w:t>Proyecto 1. Implementación estrategia mujeres productivas Arjona, Bolívar, Caribe.</w:t>
            </w:r>
          </w:p>
          <w:p w:rsidR="00601EF8" w:rsidRPr="0032593A" w:rsidRDefault="00601EF8" w:rsidP="00601EF8">
            <w:pPr>
              <w:pBdr>
                <w:top w:val="single" w:sz="4" w:space="1" w:color="auto"/>
                <w:bottom w:val="single" w:sz="4" w:space="1" w:color="auto"/>
              </w:pBdr>
              <w:spacing w:line="276" w:lineRule="auto"/>
              <w:jc w:val="both"/>
              <w:rPr>
                <w:rFonts w:ascii="Arial" w:hAnsi="Arial" w:cs="Arial"/>
                <w:bCs/>
              </w:rPr>
            </w:pPr>
          </w:p>
          <w:p w:rsidR="0032593A" w:rsidRPr="0032593A" w:rsidRDefault="0032593A" w:rsidP="00601EF8">
            <w:pPr>
              <w:pBdr>
                <w:top w:val="single" w:sz="4" w:space="1" w:color="auto"/>
                <w:bottom w:val="single" w:sz="4" w:space="1" w:color="auto"/>
              </w:pBdr>
              <w:spacing w:line="276" w:lineRule="auto"/>
              <w:jc w:val="both"/>
              <w:rPr>
                <w:rFonts w:ascii="Arial" w:hAnsi="Arial" w:cs="Arial"/>
                <w:bCs/>
              </w:rPr>
            </w:pPr>
            <w:r w:rsidRPr="0032593A">
              <w:rPr>
                <w:rFonts w:ascii="Arial" w:hAnsi="Arial" w:cs="Arial"/>
                <w:b/>
                <w:bCs/>
              </w:rPr>
              <w:t xml:space="preserve">Objetivo: </w:t>
            </w:r>
            <w:r w:rsidRPr="0032593A">
              <w:rPr>
                <w:rFonts w:ascii="Arial" w:hAnsi="Arial" w:cs="Arial"/>
                <w:bCs/>
              </w:rPr>
              <w:t xml:space="preserve">promover el empoderamiento de las mujeres del departamento de bolívar para que sean autosuficientes y </w:t>
            </w:r>
            <w:proofErr w:type="spellStart"/>
            <w:r w:rsidRPr="0032593A">
              <w:rPr>
                <w:rFonts w:ascii="Arial" w:hAnsi="Arial" w:cs="Arial"/>
                <w:bCs/>
              </w:rPr>
              <w:t>autodeterminantes</w:t>
            </w:r>
            <w:proofErr w:type="spellEnd"/>
            <w:r w:rsidRPr="0032593A">
              <w:rPr>
                <w:rFonts w:ascii="Arial" w:hAnsi="Arial" w:cs="Arial"/>
                <w:bCs/>
              </w:rPr>
              <w:t>.</w:t>
            </w:r>
          </w:p>
          <w:p w:rsidR="0032593A" w:rsidRPr="0032593A" w:rsidRDefault="0032593A" w:rsidP="00601EF8">
            <w:pPr>
              <w:pBdr>
                <w:top w:val="single" w:sz="4" w:space="1" w:color="auto"/>
                <w:bottom w:val="single" w:sz="4" w:space="1" w:color="auto"/>
              </w:pBdr>
              <w:spacing w:line="276" w:lineRule="auto"/>
              <w:jc w:val="both"/>
              <w:rPr>
                <w:rFonts w:ascii="Arial" w:hAnsi="Arial" w:cs="Arial"/>
                <w:bCs/>
              </w:rPr>
            </w:pPr>
            <w:r w:rsidRPr="0032593A">
              <w:rPr>
                <w:rFonts w:ascii="Arial" w:hAnsi="Arial" w:cs="Arial"/>
                <w:b/>
                <w:bCs/>
              </w:rPr>
              <w:t xml:space="preserve">Descripción: </w:t>
            </w:r>
            <w:r w:rsidRPr="0032593A">
              <w:rPr>
                <w:rFonts w:ascii="Arial" w:hAnsi="Arial" w:cs="Arial"/>
                <w:bCs/>
              </w:rPr>
              <w:t>La falta de formación, preparación y asesorías para un empoderamiento oportuno de las mujeres del Departamento de Bolívar, evidencia una falla de las instituciones territoriales y municipales en la promoción de espacios de participación de género y en la divulgación de sus derechos como garantía para el buen desarrollo de una vida digna y plena para el género femenino, lo que conlleva a un sin número de problemas, entre los que se encuentra la violencia intrafamiliar. Esta violencia tiene entre sus causas el factor de dependencia económica de las mujeres hacia los hombres. Es por esta razón que desde la Gobernación de Bolívar se ha propuesto el proyecto Implementación del Programa Mujeres Productivas en el ZODES Dique a fin de entregarles a las mujeres herramientas necesarias para promover su espíritu de emprendimiento.</w:t>
            </w:r>
          </w:p>
          <w:p w:rsidR="0032593A" w:rsidRPr="0032593A" w:rsidRDefault="0032593A" w:rsidP="00601EF8">
            <w:pPr>
              <w:pStyle w:val="Pa47"/>
              <w:pBdr>
                <w:top w:val="single" w:sz="4" w:space="1" w:color="auto"/>
                <w:bottom w:val="single" w:sz="4" w:space="1" w:color="auto"/>
              </w:pBdr>
              <w:spacing w:after="100" w:line="276" w:lineRule="auto"/>
              <w:jc w:val="both"/>
              <w:rPr>
                <w:sz w:val="22"/>
                <w:szCs w:val="22"/>
              </w:rPr>
            </w:pPr>
            <w:r w:rsidRPr="0032593A">
              <w:rPr>
                <w:b/>
                <w:bCs/>
                <w:sz w:val="22"/>
                <w:szCs w:val="22"/>
              </w:rPr>
              <w:lastRenderedPageBreak/>
              <w:t>Estado:</w:t>
            </w:r>
            <w:r w:rsidRPr="0032593A">
              <w:rPr>
                <w:sz w:val="22"/>
                <w:szCs w:val="22"/>
              </w:rPr>
              <w:t xml:space="preserve"> Formulación.</w:t>
            </w:r>
          </w:p>
          <w:p w:rsidR="0032593A" w:rsidRPr="0032593A" w:rsidRDefault="0032593A" w:rsidP="00601EF8">
            <w:pPr>
              <w:pBdr>
                <w:top w:val="single" w:sz="4" w:space="1" w:color="auto"/>
                <w:bottom w:val="single" w:sz="4" w:space="1" w:color="auto"/>
              </w:pBdr>
              <w:spacing w:line="276" w:lineRule="auto"/>
              <w:jc w:val="both"/>
              <w:rPr>
                <w:rFonts w:ascii="Arial" w:hAnsi="Arial" w:cs="Arial"/>
                <w:bCs/>
              </w:rPr>
            </w:pPr>
            <w:r w:rsidRPr="0032593A">
              <w:rPr>
                <w:rFonts w:ascii="Arial" w:hAnsi="Arial" w:cs="Arial"/>
                <w:b/>
                <w:bCs/>
              </w:rPr>
              <w:t xml:space="preserve">Entidades vinculadas: </w:t>
            </w:r>
            <w:r w:rsidRPr="0032593A">
              <w:rPr>
                <w:rFonts w:ascii="Arial" w:hAnsi="Arial" w:cs="Arial"/>
                <w:bCs/>
              </w:rPr>
              <w:t>Gobernación de Bolívar</w:t>
            </w:r>
          </w:p>
          <w:p w:rsidR="0032593A" w:rsidRPr="0032593A" w:rsidRDefault="0032593A" w:rsidP="00601EF8">
            <w:pPr>
              <w:pStyle w:val="Pa47"/>
              <w:pBdr>
                <w:top w:val="single" w:sz="4" w:space="1" w:color="auto"/>
                <w:bottom w:val="single" w:sz="4" w:space="1" w:color="auto"/>
              </w:pBdr>
              <w:spacing w:after="100" w:line="276" w:lineRule="auto"/>
              <w:jc w:val="both"/>
              <w:rPr>
                <w:sz w:val="22"/>
                <w:szCs w:val="22"/>
              </w:rPr>
            </w:pPr>
            <w:r w:rsidRPr="0032593A">
              <w:rPr>
                <w:b/>
                <w:bCs/>
                <w:sz w:val="22"/>
                <w:szCs w:val="22"/>
              </w:rPr>
              <w:t xml:space="preserve">Entidad Líder: </w:t>
            </w:r>
            <w:r w:rsidRPr="0032593A">
              <w:rPr>
                <w:bCs/>
                <w:sz w:val="22"/>
                <w:szCs w:val="22"/>
              </w:rPr>
              <w:t>Gobernación de Bolívar.</w:t>
            </w:r>
          </w:p>
          <w:p w:rsidR="0032593A" w:rsidRPr="0032593A" w:rsidRDefault="0032593A" w:rsidP="00601EF8">
            <w:pPr>
              <w:pStyle w:val="Pa47"/>
              <w:pBdr>
                <w:top w:val="single" w:sz="4" w:space="1" w:color="auto"/>
                <w:bottom w:val="single" w:sz="4" w:space="1" w:color="auto"/>
              </w:pBdr>
              <w:spacing w:after="100" w:line="276" w:lineRule="auto"/>
              <w:jc w:val="both"/>
              <w:rPr>
                <w:sz w:val="22"/>
                <w:szCs w:val="22"/>
              </w:rPr>
            </w:pPr>
            <w:r w:rsidRPr="0032593A">
              <w:rPr>
                <w:b/>
                <w:bCs/>
                <w:sz w:val="22"/>
                <w:szCs w:val="22"/>
              </w:rPr>
              <w:t xml:space="preserve">Localización: </w:t>
            </w:r>
            <w:r w:rsidRPr="0032593A">
              <w:rPr>
                <w:bCs/>
                <w:sz w:val="22"/>
                <w:szCs w:val="22"/>
              </w:rPr>
              <w:t>Departamento de Bolívar.</w:t>
            </w:r>
          </w:p>
          <w:p w:rsidR="0032593A" w:rsidRPr="0032593A" w:rsidRDefault="0032593A" w:rsidP="00601EF8">
            <w:pPr>
              <w:pStyle w:val="Pa47"/>
              <w:pBdr>
                <w:top w:val="single" w:sz="4" w:space="1" w:color="auto"/>
                <w:bottom w:val="single" w:sz="4" w:space="1" w:color="auto"/>
              </w:pBdr>
              <w:spacing w:after="100" w:line="276" w:lineRule="auto"/>
              <w:jc w:val="both"/>
              <w:rPr>
                <w:sz w:val="22"/>
                <w:szCs w:val="22"/>
              </w:rPr>
            </w:pPr>
            <w:r w:rsidRPr="0032593A">
              <w:rPr>
                <w:b/>
                <w:bCs/>
                <w:sz w:val="22"/>
                <w:szCs w:val="22"/>
              </w:rPr>
              <w:t xml:space="preserve">Actividades principales: </w:t>
            </w:r>
            <w:r w:rsidRPr="0032593A">
              <w:rPr>
                <w:bCs/>
                <w:sz w:val="22"/>
                <w:szCs w:val="22"/>
              </w:rPr>
              <w:t>Acompañamiento y asesorías a las unidades de negocio, aporte de las mujeres beneficiarias, capacitación técnica a las mujeres en el área de desempeño, caracterización de las beneficiarias, realización de talleres de sensibilización, asesorías psicológicas y preparación para un proyecto de vida.</w:t>
            </w:r>
          </w:p>
          <w:p w:rsidR="0032593A" w:rsidRPr="0032593A" w:rsidRDefault="0032593A" w:rsidP="00601EF8">
            <w:pPr>
              <w:pBdr>
                <w:top w:val="single" w:sz="4" w:space="1" w:color="auto"/>
                <w:bottom w:val="single" w:sz="4" w:space="1" w:color="auto"/>
              </w:pBdr>
              <w:spacing w:line="276" w:lineRule="auto"/>
              <w:jc w:val="both"/>
              <w:rPr>
                <w:rFonts w:ascii="Arial" w:hAnsi="Arial" w:cs="Arial"/>
                <w:b/>
                <w:bCs/>
              </w:rPr>
            </w:pPr>
            <w:r w:rsidRPr="0032593A">
              <w:rPr>
                <w:rFonts w:ascii="Arial" w:hAnsi="Arial" w:cs="Arial"/>
                <w:b/>
                <w:bCs/>
              </w:rPr>
              <w:t xml:space="preserve">Empleos estimados: </w:t>
            </w:r>
            <w:r w:rsidRPr="0032593A">
              <w:rPr>
                <w:rFonts w:ascii="Arial" w:hAnsi="Arial" w:cs="Arial"/>
                <w:bCs/>
              </w:rPr>
              <w:t>950 beneficiarios.</w:t>
            </w:r>
          </w:p>
          <w:p w:rsidR="0032593A" w:rsidRPr="0032593A" w:rsidRDefault="0032593A" w:rsidP="00601EF8">
            <w:pPr>
              <w:pBdr>
                <w:top w:val="single" w:sz="4" w:space="1" w:color="auto"/>
                <w:bottom w:val="single" w:sz="4" w:space="1" w:color="auto"/>
              </w:pBdr>
              <w:spacing w:line="276" w:lineRule="auto"/>
              <w:jc w:val="both"/>
              <w:rPr>
                <w:rFonts w:ascii="Arial" w:hAnsi="Arial" w:cs="Arial"/>
                <w:b/>
                <w:bCs/>
              </w:rPr>
            </w:pPr>
            <w:r w:rsidRPr="0032593A">
              <w:rPr>
                <w:rFonts w:ascii="Arial" w:hAnsi="Arial" w:cs="Arial"/>
                <w:b/>
                <w:bCs/>
              </w:rPr>
              <w:t xml:space="preserve">Valor del proyecto: </w:t>
            </w:r>
            <w:r w:rsidRPr="0032593A">
              <w:rPr>
                <w:rFonts w:ascii="Arial" w:hAnsi="Arial" w:cs="Arial"/>
                <w:bCs/>
              </w:rPr>
              <w:t>$ 2.538.609.612 de pesos.</w:t>
            </w:r>
          </w:p>
          <w:p w:rsidR="0032593A" w:rsidRPr="0032593A" w:rsidRDefault="0032593A" w:rsidP="00601EF8">
            <w:pPr>
              <w:pBdr>
                <w:top w:val="single" w:sz="4" w:space="1" w:color="auto"/>
                <w:bottom w:val="single" w:sz="4" w:space="1" w:color="auto"/>
              </w:pBdr>
              <w:spacing w:line="276" w:lineRule="auto"/>
              <w:jc w:val="both"/>
              <w:rPr>
                <w:rFonts w:ascii="Arial" w:hAnsi="Arial" w:cs="Arial"/>
                <w:bCs/>
              </w:rPr>
            </w:pPr>
            <w:r w:rsidRPr="0032593A">
              <w:rPr>
                <w:rFonts w:ascii="Arial" w:hAnsi="Arial" w:cs="Arial"/>
                <w:b/>
                <w:bCs/>
              </w:rPr>
              <w:t xml:space="preserve">Horizonte en el tiempo: </w:t>
            </w:r>
            <w:r w:rsidRPr="0032593A">
              <w:rPr>
                <w:rFonts w:ascii="Arial" w:hAnsi="Arial" w:cs="Arial"/>
                <w:bCs/>
              </w:rPr>
              <w:t>Mediano plazo.</w:t>
            </w:r>
          </w:p>
          <w:p w:rsidR="0032593A" w:rsidRPr="0032593A" w:rsidRDefault="0032593A" w:rsidP="00056952">
            <w:pPr>
              <w:spacing w:line="276" w:lineRule="auto"/>
              <w:rPr>
                <w:rFonts w:ascii="Arial" w:hAnsi="Arial" w:cs="Arial"/>
                <w:lang w:eastAsia="x-none"/>
              </w:rPr>
            </w:pPr>
          </w:p>
          <w:p w:rsidR="00601EF8"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p>
          <w:p w:rsidR="0032593A" w:rsidRPr="00601EF8" w:rsidRDefault="0032593A" w:rsidP="00601EF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color w:val="C00000"/>
              </w:rPr>
            </w:pPr>
            <w:r w:rsidRPr="00601EF8">
              <w:rPr>
                <w:rFonts w:ascii="Arial" w:hAnsi="Arial" w:cs="Arial"/>
                <w:b/>
                <w:bCs/>
                <w:color w:val="C00000"/>
              </w:rPr>
              <w:t>Proyecto 2. Desarrollo de alternativas productivas para artesanos como mecanismo de generación de ingresos y mantenimiento de sus tradiciones en el Departamento de Bolívar. Primera etapa. 10 municipios y 1 Corregimiento del departamento.</w:t>
            </w:r>
          </w:p>
          <w:p w:rsidR="00601EF8" w:rsidRPr="0032593A"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Objetivo: </w:t>
            </w:r>
            <w:r w:rsidRPr="0032593A">
              <w:rPr>
                <w:rFonts w:ascii="Arial" w:hAnsi="Arial" w:cs="Arial"/>
                <w:bCs/>
              </w:rPr>
              <w:t>Impulsar y reconocer las actividades artesanales como medio de generación de ingresos y mantenimiento del legado cultural en los municipios del departamento de Bolívar.</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Descripción: </w:t>
            </w:r>
            <w:r w:rsidRPr="0032593A">
              <w:rPr>
                <w:rFonts w:ascii="Arial" w:hAnsi="Arial" w:cs="Arial"/>
                <w:bCs/>
              </w:rPr>
              <w:t>Esta alternativa incluye capacitación académica y técnica de los Artesanos de los 10 municipios y el corregimiento afectados por el proyecto en su primera etapa, capacitación de personal preparado para entrenar a otro grupo de artesanos en los municipios, procesos de consolidación de una marca registrada para los artesanos de los municipios impactados, mecanismos de promoción y presentación de productos artesanales que permitan generar ingresos y bienestar social a los participantes en base a la asociatividad empresarial comunitaria.</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Estado:</w:t>
            </w:r>
            <w:r w:rsidRPr="0032593A">
              <w:rPr>
                <w:sz w:val="22"/>
                <w:szCs w:val="22"/>
              </w:rPr>
              <w:t xml:space="preserve"> Formulación.</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Entidades vinculadas: </w:t>
            </w:r>
            <w:r w:rsidRPr="0032593A">
              <w:rPr>
                <w:rFonts w:ascii="Arial" w:hAnsi="Arial" w:cs="Arial"/>
                <w:bCs/>
              </w:rPr>
              <w:t xml:space="preserve">Gobernación de Bolívar, Alcaldías de Arjona, Calamar, </w:t>
            </w:r>
            <w:proofErr w:type="spellStart"/>
            <w:r w:rsidRPr="0032593A">
              <w:rPr>
                <w:rFonts w:ascii="Arial" w:hAnsi="Arial" w:cs="Arial"/>
                <w:bCs/>
              </w:rPr>
              <w:t>Turbaco</w:t>
            </w:r>
            <w:proofErr w:type="spellEnd"/>
            <w:r w:rsidRPr="0032593A">
              <w:rPr>
                <w:rFonts w:ascii="Arial" w:hAnsi="Arial" w:cs="Arial"/>
                <w:bCs/>
              </w:rPr>
              <w:t xml:space="preserve">, Carmen de Bolívar, Córdoba, San Jacinto, El Guamo, San Juan de Nepomuceno, </w:t>
            </w:r>
            <w:proofErr w:type="spellStart"/>
            <w:r w:rsidRPr="0032593A">
              <w:rPr>
                <w:rFonts w:ascii="Arial" w:hAnsi="Arial" w:cs="Arial"/>
                <w:bCs/>
              </w:rPr>
              <w:t>Mahates</w:t>
            </w:r>
            <w:proofErr w:type="spellEnd"/>
            <w:r w:rsidRPr="0032593A">
              <w:rPr>
                <w:rFonts w:ascii="Arial" w:hAnsi="Arial" w:cs="Arial"/>
                <w:bCs/>
              </w:rPr>
              <w:t xml:space="preserve"> y Zambrano.</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 xml:space="preserve">Entidad Líder: </w:t>
            </w:r>
            <w:r w:rsidRPr="0032593A">
              <w:rPr>
                <w:bCs/>
                <w:sz w:val="22"/>
                <w:szCs w:val="22"/>
              </w:rPr>
              <w:t>Gobernación de Bolívar.</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 xml:space="preserve">Localización: </w:t>
            </w:r>
            <w:r w:rsidRPr="0032593A">
              <w:rPr>
                <w:bCs/>
                <w:sz w:val="22"/>
                <w:szCs w:val="22"/>
              </w:rPr>
              <w:t xml:space="preserve">Municipios de Arjona, Calamar, </w:t>
            </w:r>
            <w:proofErr w:type="spellStart"/>
            <w:r w:rsidRPr="0032593A">
              <w:rPr>
                <w:bCs/>
                <w:sz w:val="22"/>
                <w:szCs w:val="22"/>
              </w:rPr>
              <w:t>Turbaco</w:t>
            </w:r>
            <w:proofErr w:type="spellEnd"/>
            <w:r w:rsidRPr="0032593A">
              <w:rPr>
                <w:bCs/>
                <w:sz w:val="22"/>
                <w:szCs w:val="22"/>
              </w:rPr>
              <w:t xml:space="preserve">, Carmen de Bolívar, Córdoba, San Jacinto, El Guamo, San Juan de Nepomuceno, </w:t>
            </w:r>
            <w:proofErr w:type="spellStart"/>
            <w:r w:rsidRPr="0032593A">
              <w:rPr>
                <w:bCs/>
                <w:sz w:val="22"/>
                <w:szCs w:val="22"/>
              </w:rPr>
              <w:t>Mahates</w:t>
            </w:r>
            <w:proofErr w:type="spellEnd"/>
            <w:r w:rsidRPr="0032593A">
              <w:rPr>
                <w:bCs/>
                <w:sz w:val="22"/>
                <w:szCs w:val="22"/>
              </w:rPr>
              <w:t xml:space="preserve"> y Zambrano.</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 xml:space="preserve">Actividades principales: </w:t>
            </w:r>
            <w:r w:rsidRPr="0032593A">
              <w:rPr>
                <w:bCs/>
                <w:sz w:val="22"/>
                <w:szCs w:val="22"/>
              </w:rPr>
              <w:t>formación empresarial para fortalecer unidades productivas, realizar de la imagen corporativa, registro en cámara de comercio y superintendencia de industria y comercio, formación y asesoría para la formalización empresarial, capacitación del proceso, certificación de beneficiarios y monitoreo y seguimiento.</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2593A">
              <w:rPr>
                <w:rFonts w:ascii="Arial" w:hAnsi="Arial" w:cs="Arial"/>
                <w:b/>
                <w:bCs/>
              </w:rPr>
              <w:t xml:space="preserve">Empleos estimados: </w:t>
            </w:r>
            <w:r w:rsidRPr="0032593A">
              <w:rPr>
                <w:rFonts w:ascii="Arial" w:hAnsi="Arial" w:cs="Arial"/>
                <w:bCs/>
              </w:rPr>
              <w:t>200 mujeres beneficiadas.</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2593A">
              <w:rPr>
                <w:rFonts w:ascii="Arial" w:hAnsi="Arial" w:cs="Arial"/>
                <w:b/>
                <w:bCs/>
              </w:rPr>
              <w:t xml:space="preserve">Valor del proyecto: </w:t>
            </w:r>
            <w:r w:rsidRPr="0032593A">
              <w:rPr>
                <w:rFonts w:ascii="Arial" w:hAnsi="Arial" w:cs="Arial"/>
                <w:bCs/>
              </w:rPr>
              <w:t>$ 707.156.640 de pesos</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2593A">
              <w:rPr>
                <w:rFonts w:ascii="Arial" w:hAnsi="Arial" w:cs="Arial"/>
                <w:b/>
                <w:bCs/>
              </w:rPr>
              <w:t xml:space="preserve">Horizonte en el tiempo: </w:t>
            </w:r>
            <w:r w:rsidRPr="0032593A">
              <w:rPr>
                <w:rFonts w:ascii="Arial" w:hAnsi="Arial" w:cs="Arial"/>
                <w:bCs/>
              </w:rPr>
              <w:t>Mediano plazo.</w:t>
            </w:r>
          </w:p>
          <w:p w:rsidR="0032593A" w:rsidRPr="0032593A" w:rsidRDefault="0032593A" w:rsidP="00056952">
            <w:pPr>
              <w:spacing w:line="276" w:lineRule="auto"/>
              <w:rPr>
                <w:rFonts w:ascii="Arial" w:hAnsi="Arial" w:cs="Arial"/>
                <w:bCs/>
              </w:rPr>
            </w:pPr>
          </w:p>
          <w:p w:rsidR="00601EF8"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p>
          <w:p w:rsidR="0032593A" w:rsidRPr="00601EF8" w:rsidRDefault="0032593A" w:rsidP="00601EF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color w:val="C00000"/>
              </w:rPr>
            </w:pPr>
            <w:r w:rsidRPr="00601EF8">
              <w:rPr>
                <w:rFonts w:ascii="Arial" w:hAnsi="Arial" w:cs="Arial"/>
                <w:b/>
                <w:bCs/>
                <w:color w:val="C00000"/>
              </w:rPr>
              <w:lastRenderedPageBreak/>
              <w:t xml:space="preserve">Proyecto 3. Construcción de centros de emprendimiento en el ZODES de Loba o </w:t>
            </w:r>
            <w:proofErr w:type="spellStart"/>
            <w:r w:rsidRPr="00601EF8">
              <w:rPr>
                <w:rFonts w:ascii="Arial" w:hAnsi="Arial" w:cs="Arial"/>
                <w:b/>
                <w:bCs/>
                <w:color w:val="C00000"/>
              </w:rPr>
              <w:t>Mojana</w:t>
            </w:r>
            <w:proofErr w:type="spellEnd"/>
            <w:r w:rsidRPr="00601EF8">
              <w:rPr>
                <w:rFonts w:ascii="Arial" w:hAnsi="Arial" w:cs="Arial"/>
                <w:b/>
                <w:bCs/>
                <w:color w:val="C00000"/>
              </w:rPr>
              <w:t>.</w:t>
            </w:r>
          </w:p>
          <w:p w:rsidR="00601EF8" w:rsidRPr="0032593A" w:rsidRDefault="00601EF8"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Objetivo: </w:t>
            </w:r>
            <w:r w:rsidRPr="0032593A">
              <w:rPr>
                <w:rFonts w:ascii="Arial" w:hAnsi="Arial" w:cs="Arial"/>
                <w:bCs/>
              </w:rPr>
              <w:t>Generar emprendimientos viables y sostenibles que respondan a la vocación productiva de cada una de las zonas de desarrollo económico.</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Estado:</w:t>
            </w:r>
            <w:r w:rsidRPr="0032593A">
              <w:rPr>
                <w:sz w:val="22"/>
                <w:szCs w:val="22"/>
              </w:rPr>
              <w:t xml:space="preserve"> Idea.</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Entidades vinculadas: </w:t>
            </w:r>
            <w:r w:rsidRPr="0032593A">
              <w:rPr>
                <w:rFonts w:ascii="Arial" w:hAnsi="Arial" w:cs="Arial"/>
                <w:bCs/>
              </w:rPr>
              <w:t>Gobernación de Bolívar</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 xml:space="preserve">Entidad Líder: </w:t>
            </w:r>
            <w:r w:rsidRPr="0032593A">
              <w:rPr>
                <w:bCs/>
                <w:sz w:val="22"/>
                <w:szCs w:val="22"/>
              </w:rPr>
              <w:t>Gobernación de Bolívar.</w:t>
            </w:r>
          </w:p>
          <w:p w:rsidR="0032593A" w:rsidRPr="0032593A" w:rsidRDefault="0032593A" w:rsidP="00056952">
            <w:pPr>
              <w:pStyle w:val="Pa47"/>
              <w:pBdr>
                <w:top w:val="single" w:sz="4" w:space="1" w:color="auto"/>
                <w:left w:val="single" w:sz="4" w:space="4" w:color="auto"/>
                <w:bottom w:val="single" w:sz="4" w:space="1" w:color="auto"/>
                <w:right w:val="single" w:sz="4" w:space="4" w:color="auto"/>
              </w:pBdr>
              <w:spacing w:after="100" w:line="276" w:lineRule="auto"/>
              <w:jc w:val="both"/>
              <w:rPr>
                <w:sz w:val="22"/>
                <w:szCs w:val="22"/>
              </w:rPr>
            </w:pPr>
            <w:r w:rsidRPr="0032593A">
              <w:rPr>
                <w:b/>
                <w:bCs/>
                <w:sz w:val="22"/>
                <w:szCs w:val="22"/>
              </w:rPr>
              <w:t xml:space="preserve">Localización: </w:t>
            </w:r>
            <w:proofErr w:type="spellStart"/>
            <w:r w:rsidRPr="0032593A">
              <w:rPr>
                <w:bCs/>
                <w:sz w:val="22"/>
                <w:szCs w:val="22"/>
              </w:rPr>
              <w:t>Zodes</w:t>
            </w:r>
            <w:proofErr w:type="spellEnd"/>
            <w:r w:rsidRPr="0032593A">
              <w:rPr>
                <w:bCs/>
                <w:sz w:val="22"/>
                <w:szCs w:val="22"/>
              </w:rPr>
              <w:t xml:space="preserve"> de Montes de Maria, </w:t>
            </w:r>
            <w:proofErr w:type="spellStart"/>
            <w:r w:rsidRPr="0032593A">
              <w:rPr>
                <w:bCs/>
                <w:sz w:val="22"/>
                <w:szCs w:val="22"/>
              </w:rPr>
              <w:t>Mojana</w:t>
            </w:r>
            <w:proofErr w:type="spellEnd"/>
            <w:r w:rsidRPr="0032593A">
              <w:rPr>
                <w:bCs/>
                <w:sz w:val="22"/>
                <w:szCs w:val="22"/>
              </w:rPr>
              <w:t xml:space="preserve">, Depresión </w:t>
            </w:r>
            <w:proofErr w:type="spellStart"/>
            <w:r w:rsidRPr="0032593A">
              <w:rPr>
                <w:bCs/>
                <w:sz w:val="22"/>
                <w:szCs w:val="22"/>
              </w:rPr>
              <w:t>Momposina</w:t>
            </w:r>
            <w:proofErr w:type="spellEnd"/>
            <w:r w:rsidRPr="0032593A">
              <w:rPr>
                <w:bCs/>
                <w:sz w:val="22"/>
                <w:szCs w:val="22"/>
              </w:rPr>
              <w:t>, Loba, Magdalena Medio.</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rPr>
            </w:pPr>
            <w:r w:rsidRPr="0032593A">
              <w:rPr>
                <w:rFonts w:ascii="Arial" w:hAnsi="Arial" w:cs="Arial"/>
                <w:b/>
                <w:bCs/>
              </w:rPr>
              <w:t xml:space="preserve">Valor del proyecto: </w:t>
            </w:r>
            <w:r w:rsidRPr="0032593A">
              <w:rPr>
                <w:rFonts w:ascii="Arial" w:hAnsi="Arial" w:cs="Arial"/>
                <w:bCs/>
              </w:rPr>
              <w:t>2.500.000.000</w:t>
            </w:r>
          </w:p>
          <w:p w:rsidR="0032593A" w:rsidRPr="0032593A" w:rsidRDefault="0032593A" w:rsidP="00056952">
            <w:pPr>
              <w:pBdr>
                <w:top w:val="single" w:sz="4" w:space="1" w:color="auto"/>
                <w:left w:val="single" w:sz="4" w:space="4" w:color="auto"/>
                <w:bottom w:val="single" w:sz="4" w:space="1" w:color="auto"/>
                <w:right w:val="single" w:sz="4" w:space="4" w:color="auto"/>
              </w:pBdr>
              <w:spacing w:line="276" w:lineRule="auto"/>
              <w:jc w:val="both"/>
              <w:rPr>
                <w:rFonts w:ascii="Arial" w:hAnsi="Arial" w:cs="Arial"/>
                <w:bCs/>
              </w:rPr>
            </w:pPr>
            <w:r w:rsidRPr="0032593A">
              <w:rPr>
                <w:rFonts w:ascii="Arial" w:hAnsi="Arial" w:cs="Arial"/>
                <w:b/>
                <w:bCs/>
              </w:rPr>
              <w:t xml:space="preserve">Horizonte en el tiempo: </w:t>
            </w:r>
            <w:r w:rsidRPr="0032593A">
              <w:rPr>
                <w:rFonts w:ascii="Arial" w:hAnsi="Arial" w:cs="Arial"/>
                <w:bCs/>
              </w:rPr>
              <w:t>Mediano plazo.</w:t>
            </w:r>
          </w:p>
          <w:p w:rsidR="0032593A" w:rsidRPr="0032593A" w:rsidRDefault="0032593A" w:rsidP="00056952">
            <w:pPr>
              <w:pStyle w:val="Ttulo2"/>
              <w:spacing w:before="0" w:line="276" w:lineRule="auto"/>
              <w:jc w:val="both"/>
              <w:rPr>
                <w:rFonts w:ascii="Arial" w:hAnsi="Arial" w:cs="Arial"/>
                <w:color w:val="auto"/>
                <w:sz w:val="22"/>
                <w:szCs w:val="22"/>
                <w:lang w:val="es-CO" w:eastAsia="x-none"/>
              </w:rPr>
            </w:pPr>
          </w:p>
        </w:tc>
      </w:tr>
    </w:tbl>
    <w:p w:rsidR="0032593A" w:rsidRDefault="0032593A">
      <w:pPr>
        <w:pStyle w:val="Ttulo2"/>
        <w:spacing w:line="276" w:lineRule="auto"/>
        <w:rPr>
          <w:rFonts w:ascii="Arial" w:hAnsi="Arial" w:cs="Arial"/>
          <w:color w:val="C00000"/>
          <w:sz w:val="22"/>
          <w:szCs w:val="22"/>
        </w:rPr>
      </w:pPr>
      <w:bookmarkStart w:id="213" w:name="_Toc389666648"/>
      <w:r w:rsidRPr="0032593A">
        <w:rPr>
          <w:rFonts w:ascii="Arial" w:hAnsi="Arial" w:cs="Arial"/>
          <w:color w:val="C00000"/>
          <w:sz w:val="22"/>
          <w:szCs w:val="22"/>
        </w:rPr>
        <w:lastRenderedPageBreak/>
        <w:t>7.3 Eje estratégico 3. Formación y capacitación laboral</w:t>
      </w:r>
      <w:bookmarkEnd w:id="213"/>
    </w:p>
    <w:p w:rsidR="00601EF8" w:rsidRPr="00601EF8" w:rsidRDefault="00601EF8" w:rsidP="00601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4"/>
      </w:tblGrid>
      <w:tr w:rsidR="0032593A" w:rsidRPr="003E54FC" w:rsidTr="000E14A3">
        <w:tc>
          <w:tcPr>
            <w:tcW w:w="8714" w:type="dxa"/>
            <w:tcBorders>
              <w:top w:val="nil"/>
              <w:left w:val="nil"/>
              <w:bottom w:val="nil"/>
              <w:right w:val="nil"/>
            </w:tcBorders>
            <w:shd w:val="clear" w:color="auto" w:fill="FFFFFF"/>
          </w:tcPr>
          <w:p w:rsidR="0032593A" w:rsidRDefault="0032593A">
            <w:pPr>
              <w:spacing w:line="276" w:lineRule="auto"/>
              <w:jc w:val="both"/>
              <w:rPr>
                <w:rFonts w:ascii="Arial" w:hAnsi="Arial" w:cs="Arial"/>
                <w:bCs/>
              </w:rPr>
            </w:pPr>
            <w:r w:rsidRPr="003E54FC">
              <w:rPr>
                <w:rFonts w:ascii="Arial" w:hAnsi="Arial" w:cs="Arial"/>
                <w:bCs/>
              </w:rPr>
              <w:t>Con este eje se busca que el recurso humano (general y poblaciones especiales) se forme o capacite para el trabajo en las áreas y sectores que demanda el tejido productivo instalado en las diferentes regiones del departamento con base en la articulación eficiente del sector público, privado y académico disponible.</w:t>
            </w:r>
          </w:p>
          <w:p w:rsidR="00601EF8" w:rsidRDefault="00601EF8">
            <w:pPr>
              <w:spacing w:line="276" w:lineRule="auto"/>
              <w:jc w:val="both"/>
              <w:rPr>
                <w:rFonts w:ascii="Arial" w:hAnsi="Arial" w:cs="Arial"/>
                <w:bCs/>
              </w:rPr>
            </w:pPr>
          </w:p>
          <w:p w:rsidR="00601EF8" w:rsidRPr="003E54FC" w:rsidRDefault="009351FC" w:rsidP="009351FC">
            <w:pPr>
              <w:spacing w:line="276" w:lineRule="auto"/>
              <w:jc w:val="both"/>
              <w:rPr>
                <w:rFonts w:ascii="Arial" w:hAnsi="Arial" w:cs="Arial"/>
                <w:bCs/>
              </w:rPr>
            </w:pPr>
            <w:r w:rsidRPr="003E54FC">
              <w:rPr>
                <w:rFonts w:ascii="Arial" w:hAnsi="Arial" w:cs="Arial"/>
                <w:bCs/>
              </w:rPr>
              <w:t>Para este eje no se identificaron ni priorizaron proyectos dentro de este Plan Departamental de Empleo.</w:t>
            </w:r>
          </w:p>
        </w:tc>
      </w:tr>
    </w:tbl>
    <w:p w:rsidR="0032593A" w:rsidRDefault="0032593A">
      <w:pPr>
        <w:pStyle w:val="Ttulo2"/>
        <w:spacing w:line="276" w:lineRule="auto"/>
        <w:rPr>
          <w:rFonts w:ascii="Arial" w:hAnsi="Arial" w:cs="Arial"/>
          <w:color w:val="C00000"/>
          <w:sz w:val="22"/>
          <w:szCs w:val="22"/>
        </w:rPr>
      </w:pPr>
      <w:bookmarkStart w:id="214" w:name="_Toc389666649"/>
      <w:r w:rsidRPr="0032593A">
        <w:rPr>
          <w:rFonts w:ascii="Arial" w:hAnsi="Arial" w:cs="Arial"/>
          <w:color w:val="C00000"/>
          <w:sz w:val="22"/>
          <w:szCs w:val="22"/>
        </w:rPr>
        <w:t>7.4 Eje estratégico 4. Intermediación laboral y colocación</w:t>
      </w:r>
      <w:bookmarkEnd w:id="214"/>
    </w:p>
    <w:p w:rsidR="00601EF8" w:rsidRPr="00601EF8" w:rsidRDefault="00601EF8" w:rsidP="00601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4"/>
      </w:tblGrid>
      <w:tr w:rsidR="0032593A" w:rsidRPr="003E54FC" w:rsidTr="000E14A3">
        <w:tc>
          <w:tcPr>
            <w:tcW w:w="8714" w:type="dxa"/>
            <w:tcBorders>
              <w:top w:val="nil"/>
              <w:left w:val="nil"/>
              <w:bottom w:val="nil"/>
              <w:right w:val="nil"/>
            </w:tcBorders>
            <w:shd w:val="clear" w:color="auto" w:fill="FFFFFF"/>
          </w:tcPr>
          <w:p w:rsidR="0032593A" w:rsidRDefault="0032593A">
            <w:pPr>
              <w:spacing w:line="276" w:lineRule="auto"/>
              <w:jc w:val="both"/>
              <w:rPr>
                <w:rFonts w:ascii="Arial" w:hAnsi="Arial" w:cs="Arial"/>
                <w:bCs/>
              </w:rPr>
            </w:pPr>
            <w:r w:rsidRPr="003E54FC">
              <w:rPr>
                <w:rFonts w:ascii="Arial" w:hAnsi="Arial" w:cs="Arial"/>
                <w:bCs/>
              </w:rPr>
              <w:t>El objetivo de este eje pretende generar el conjunto de actividades y recursos dirigidos a acercar a los demandantes de empleo (trabajadores) con los oferentes de empleo (empresas) para brindar a los trabajadores un empleo adecuado a sus características y a las empresas los trabajadores más apropiados a sus necesidades.</w:t>
            </w:r>
          </w:p>
          <w:p w:rsidR="009351FC" w:rsidRDefault="009351FC">
            <w:pPr>
              <w:spacing w:line="276" w:lineRule="auto"/>
              <w:jc w:val="both"/>
              <w:rPr>
                <w:rFonts w:ascii="Arial" w:hAnsi="Arial" w:cs="Arial"/>
                <w:bCs/>
              </w:rPr>
            </w:pPr>
          </w:p>
          <w:p w:rsidR="009351FC" w:rsidRPr="003E54FC" w:rsidRDefault="009351FC">
            <w:pPr>
              <w:spacing w:line="276" w:lineRule="auto"/>
              <w:jc w:val="both"/>
              <w:rPr>
                <w:rFonts w:ascii="Arial" w:hAnsi="Arial" w:cs="Arial"/>
                <w:bCs/>
              </w:rPr>
            </w:pPr>
            <w:r w:rsidRPr="003E54FC">
              <w:rPr>
                <w:rFonts w:ascii="Arial" w:hAnsi="Arial" w:cs="Arial"/>
                <w:bCs/>
              </w:rPr>
              <w:t>Para este eje no se identificaron ni priorizaron proyectos dentro de este Plan Departamental de Empleo.</w:t>
            </w:r>
          </w:p>
        </w:tc>
      </w:tr>
    </w:tbl>
    <w:p w:rsidR="0032593A" w:rsidRDefault="0032593A">
      <w:pPr>
        <w:pStyle w:val="Ttulo2"/>
        <w:spacing w:line="276" w:lineRule="auto"/>
        <w:jc w:val="both"/>
        <w:rPr>
          <w:rFonts w:ascii="Arial" w:hAnsi="Arial" w:cs="Arial"/>
          <w:color w:val="C00000"/>
          <w:sz w:val="22"/>
          <w:szCs w:val="22"/>
        </w:rPr>
      </w:pPr>
      <w:bookmarkStart w:id="215" w:name="_Toc389666650"/>
      <w:r w:rsidRPr="0032593A">
        <w:rPr>
          <w:rFonts w:ascii="Arial" w:hAnsi="Arial" w:cs="Arial"/>
          <w:color w:val="C00000"/>
          <w:sz w:val="22"/>
          <w:szCs w:val="22"/>
        </w:rPr>
        <w:t>7.5 Eje estratégico 5. Coordinación institucional y fortalecimiento de capacidades territoriales</w:t>
      </w:r>
      <w:bookmarkEnd w:id="215"/>
    </w:p>
    <w:p w:rsidR="00601EF8" w:rsidRPr="00601EF8" w:rsidRDefault="00601EF8" w:rsidP="00601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4"/>
      </w:tblGrid>
      <w:tr w:rsidR="0032593A" w:rsidRPr="003E54FC" w:rsidTr="000E14A3">
        <w:trPr>
          <w:trHeight w:val="426"/>
        </w:trPr>
        <w:tc>
          <w:tcPr>
            <w:tcW w:w="8714" w:type="dxa"/>
            <w:tcBorders>
              <w:top w:val="nil"/>
              <w:left w:val="nil"/>
              <w:bottom w:val="nil"/>
              <w:right w:val="nil"/>
            </w:tcBorders>
            <w:shd w:val="clear" w:color="auto" w:fill="FFFFFF"/>
          </w:tcPr>
          <w:p w:rsidR="0032593A" w:rsidRDefault="0032593A">
            <w:pPr>
              <w:spacing w:line="276" w:lineRule="auto"/>
              <w:jc w:val="both"/>
              <w:rPr>
                <w:rFonts w:ascii="Arial" w:hAnsi="Arial" w:cs="Arial"/>
                <w:bCs/>
              </w:rPr>
            </w:pPr>
            <w:r>
              <w:rPr>
                <w:rFonts w:ascii="Arial" w:hAnsi="Arial" w:cs="Arial"/>
                <w:bCs/>
              </w:rPr>
              <w:t>El</w:t>
            </w:r>
            <w:r w:rsidRPr="003E54FC">
              <w:rPr>
                <w:rFonts w:ascii="Arial" w:hAnsi="Arial" w:cs="Arial"/>
                <w:bCs/>
              </w:rPr>
              <w:t xml:space="preserve"> propósito </w:t>
            </w:r>
            <w:r>
              <w:rPr>
                <w:rFonts w:ascii="Arial" w:hAnsi="Arial" w:cs="Arial"/>
                <w:bCs/>
              </w:rPr>
              <w:t>central de este eje es el fortalecimiento de la</w:t>
            </w:r>
            <w:r w:rsidRPr="003E54FC">
              <w:rPr>
                <w:rFonts w:ascii="Arial" w:hAnsi="Arial" w:cs="Arial"/>
                <w:bCs/>
              </w:rPr>
              <w:t xml:space="preserve"> institucionalidad departamental y local para que obre como responsable de la implementación, coordinación y seguimiento de los planes y políticas de empleo, así como del monitoreo de la actividad laboral en el departamento.</w:t>
            </w:r>
          </w:p>
          <w:p w:rsidR="009351FC" w:rsidRDefault="009351FC">
            <w:pPr>
              <w:spacing w:line="276" w:lineRule="auto"/>
              <w:jc w:val="both"/>
              <w:rPr>
                <w:rFonts w:ascii="Arial" w:hAnsi="Arial" w:cs="Arial"/>
                <w:bCs/>
              </w:rPr>
            </w:pPr>
          </w:p>
          <w:p w:rsidR="009351FC" w:rsidRDefault="009351FC">
            <w:pPr>
              <w:spacing w:line="276" w:lineRule="auto"/>
              <w:jc w:val="both"/>
              <w:rPr>
                <w:rFonts w:ascii="Arial" w:hAnsi="Arial" w:cs="Arial"/>
                <w:bCs/>
              </w:rPr>
            </w:pPr>
            <w:r w:rsidRPr="003E54FC">
              <w:rPr>
                <w:rFonts w:ascii="Arial" w:hAnsi="Arial" w:cs="Arial"/>
                <w:bCs/>
              </w:rPr>
              <w:t>Para este eje no se identificaron ni priorizaron proyectos dentro de este Plan Departamental de Empleo.</w:t>
            </w:r>
          </w:p>
          <w:p w:rsidR="009351FC" w:rsidRDefault="009351FC">
            <w:pPr>
              <w:spacing w:line="276" w:lineRule="auto"/>
              <w:jc w:val="both"/>
              <w:rPr>
                <w:rFonts w:ascii="Arial" w:hAnsi="Arial" w:cs="Arial"/>
                <w:bCs/>
              </w:rPr>
            </w:pPr>
          </w:p>
          <w:p w:rsidR="009351FC" w:rsidRPr="003E54FC" w:rsidRDefault="009351FC">
            <w:pPr>
              <w:spacing w:line="276" w:lineRule="auto"/>
              <w:jc w:val="both"/>
              <w:rPr>
                <w:rFonts w:ascii="Arial" w:hAnsi="Arial" w:cs="Arial"/>
              </w:rPr>
            </w:pPr>
          </w:p>
        </w:tc>
      </w:tr>
    </w:tbl>
    <w:p w:rsidR="0032593A" w:rsidRDefault="0032593A">
      <w:pPr>
        <w:pStyle w:val="Ttulo2"/>
        <w:spacing w:line="276" w:lineRule="auto"/>
        <w:rPr>
          <w:rFonts w:ascii="Arial" w:hAnsi="Arial" w:cs="Arial"/>
          <w:color w:val="C00000"/>
          <w:sz w:val="22"/>
          <w:szCs w:val="22"/>
        </w:rPr>
      </w:pPr>
      <w:bookmarkStart w:id="216" w:name="_Toc385418253"/>
      <w:bookmarkStart w:id="217" w:name="_Toc386007274"/>
      <w:bookmarkStart w:id="218" w:name="_Toc389666651"/>
      <w:r w:rsidRPr="0032593A">
        <w:rPr>
          <w:rFonts w:ascii="Arial" w:hAnsi="Arial" w:cs="Arial"/>
          <w:color w:val="C00000"/>
          <w:sz w:val="22"/>
          <w:szCs w:val="22"/>
        </w:rPr>
        <w:lastRenderedPageBreak/>
        <w:t>7.6 Eje Estratégico 6. Fortalecimiento normativo y dialogo social</w:t>
      </w:r>
      <w:bookmarkEnd w:id="216"/>
      <w:bookmarkEnd w:id="217"/>
      <w:bookmarkEnd w:id="218"/>
    </w:p>
    <w:p w:rsidR="00601EF8" w:rsidRPr="00601EF8" w:rsidRDefault="00601EF8" w:rsidP="00601EF8"/>
    <w:p w:rsidR="0032593A" w:rsidRPr="003E54FC" w:rsidRDefault="0032593A">
      <w:pPr>
        <w:spacing w:line="276" w:lineRule="auto"/>
        <w:jc w:val="both"/>
        <w:rPr>
          <w:rFonts w:ascii="Arial" w:hAnsi="Arial" w:cs="Arial"/>
          <w:bCs/>
        </w:rPr>
      </w:pPr>
      <w:r>
        <w:rPr>
          <w:rFonts w:ascii="Arial" w:hAnsi="Arial" w:cs="Arial"/>
          <w:bCs/>
        </w:rPr>
        <w:t>Este</w:t>
      </w:r>
      <w:r w:rsidRPr="003E54FC">
        <w:rPr>
          <w:rFonts w:ascii="Arial" w:hAnsi="Arial" w:cs="Arial"/>
          <w:bCs/>
        </w:rPr>
        <w:t xml:space="preserve"> eje está centrado </w:t>
      </w:r>
      <w:r>
        <w:rPr>
          <w:rFonts w:ascii="Arial" w:hAnsi="Arial" w:cs="Arial"/>
          <w:bCs/>
        </w:rPr>
        <w:t>en el establecimiento de</w:t>
      </w:r>
      <w:r w:rsidRPr="003E54FC">
        <w:rPr>
          <w:rFonts w:ascii="Arial" w:hAnsi="Arial" w:cs="Arial"/>
          <w:bCs/>
        </w:rPr>
        <w:t xml:space="preserve"> lineamientos y directrices </w:t>
      </w:r>
      <w:r>
        <w:rPr>
          <w:rFonts w:ascii="Arial" w:hAnsi="Arial" w:cs="Arial"/>
          <w:bCs/>
        </w:rPr>
        <w:t>que sirvan para</w:t>
      </w:r>
      <w:r w:rsidRPr="003E54FC">
        <w:rPr>
          <w:rFonts w:ascii="Arial" w:hAnsi="Arial" w:cs="Arial"/>
          <w:bCs/>
        </w:rPr>
        <w:t xml:space="preserve"> orientar a las organizaciones territoriales en la aplicación de estrategias que promuevan el cumplimiento a las normas y diálogo social.</w:t>
      </w:r>
    </w:p>
    <w:p w:rsidR="0032593A" w:rsidRPr="003E54FC" w:rsidRDefault="0032593A">
      <w:pPr>
        <w:spacing w:line="276" w:lineRule="auto"/>
        <w:jc w:val="both"/>
        <w:rPr>
          <w:rFonts w:ascii="Arial" w:hAnsi="Arial" w:cs="Arial"/>
          <w:bCs/>
        </w:rPr>
      </w:pPr>
      <w:r w:rsidRPr="003E54FC">
        <w:rPr>
          <w:rFonts w:ascii="Arial" w:hAnsi="Arial" w:cs="Arial"/>
          <w:bCs/>
        </w:rPr>
        <w:t>Para este eje no se identificaron ni priorizaron proyectos dentro de este Plan Departamental de Empleo.</w:t>
      </w:r>
    </w:p>
    <w:p w:rsidR="0032593A" w:rsidRPr="003E54FC" w:rsidRDefault="0032593A" w:rsidP="0032593A">
      <w:pPr>
        <w:rPr>
          <w:rFonts w:ascii="Arial" w:hAnsi="Arial" w:cs="Arial"/>
        </w:rPr>
      </w:pPr>
    </w:p>
    <w:p w:rsidR="00381869" w:rsidRDefault="00381869" w:rsidP="00381869">
      <w:pPr>
        <w:spacing w:line="276" w:lineRule="auto"/>
        <w:jc w:val="both"/>
        <w:rPr>
          <w:rFonts w:ascii="Arial" w:hAnsi="Arial" w:cs="Arial"/>
          <w:bCs/>
        </w:rPr>
      </w:pPr>
    </w:p>
    <w:p w:rsidR="00381869" w:rsidRPr="00926501" w:rsidRDefault="00381869" w:rsidP="00DC6E74">
      <w:pPr>
        <w:keepNext/>
        <w:keepLines/>
        <w:numPr>
          <w:ilvl w:val="0"/>
          <w:numId w:val="28"/>
        </w:numPr>
        <w:spacing w:line="276" w:lineRule="auto"/>
        <w:jc w:val="center"/>
        <w:outlineLvl w:val="0"/>
        <w:rPr>
          <w:rFonts w:ascii="Arial" w:hAnsi="Arial" w:cs="Arial"/>
          <w:b/>
          <w:bCs/>
          <w:color w:val="C00000"/>
          <w:sz w:val="24"/>
          <w:szCs w:val="24"/>
        </w:rPr>
      </w:pPr>
      <w:bookmarkStart w:id="219" w:name="_Toc384367650"/>
      <w:bookmarkStart w:id="220" w:name="_Toc385001385"/>
      <w:bookmarkStart w:id="221" w:name="_Toc385418254"/>
      <w:bookmarkStart w:id="222" w:name="_Toc386007275"/>
      <w:bookmarkStart w:id="223" w:name="_Toc389666652"/>
      <w:r w:rsidRPr="00926501">
        <w:rPr>
          <w:rFonts w:ascii="Arial" w:hAnsi="Arial" w:cs="Arial"/>
          <w:b/>
          <w:bCs/>
          <w:color w:val="C00000"/>
          <w:sz w:val="24"/>
          <w:szCs w:val="24"/>
        </w:rPr>
        <w:t>Fuentes de financiación del Plan Departamental de Empleo</w:t>
      </w:r>
      <w:bookmarkEnd w:id="219"/>
      <w:bookmarkEnd w:id="220"/>
      <w:bookmarkEnd w:id="221"/>
      <w:bookmarkEnd w:id="222"/>
      <w:bookmarkEnd w:id="223"/>
    </w:p>
    <w:p w:rsidR="00381869" w:rsidRDefault="00381869" w:rsidP="00381869">
      <w:pPr>
        <w:rPr>
          <w:rFonts w:ascii="Arial" w:hAnsi="Arial"/>
          <w:bCs/>
        </w:rPr>
      </w:pPr>
    </w:p>
    <w:p w:rsidR="00381869" w:rsidRDefault="00381869" w:rsidP="00381869">
      <w:pPr>
        <w:rPr>
          <w:rFonts w:ascii="Arial" w:hAnsi="Arial"/>
          <w:bCs/>
        </w:rPr>
      </w:pPr>
    </w:p>
    <w:p w:rsidR="00381869" w:rsidRDefault="00381869" w:rsidP="00381869">
      <w:pPr>
        <w:rPr>
          <w:rFonts w:ascii="Arial" w:hAnsi="Arial"/>
          <w:bCs/>
        </w:rPr>
      </w:pPr>
    </w:p>
    <w:p w:rsidR="00381869" w:rsidRPr="00381869" w:rsidRDefault="00381869" w:rsidP="00381869">
      <w:pPr>
        <w:rPr>
          <w:rFonts w:ascii="Arial" w:hAnsi="Arial"/>
          <w:bCs/>
        </w:rPr>
      </w:pPr>
    </w:p>
    <w:p w:rsidR="00381869" w:rsidRPr="003301A6" w:rsidRDefault="00381869" w:rsidP="00381869"/>
    <w:p w:rsidR="00381869" w:rsidRPr="00926501" w:rsidRDefault="00381869" w:rsidP="00DC6E74">
      <w:pPr>
        <w:keepNext/>
        <w:keepLines/>
        <w:numPr>
          <w:ilvl w:val="0"/>
          <w:numId w:val="28"/>
        </w:numPr>
        <w:spacing w:line="276" w:lineRule="auto"/>
        <w:jc w:val="center"/>
        <w:outlineLvl w:val="0"/>
        <w:rPr>
          <w:rFonts w:ascii="Arial" w:hAnsi="Arial" w:cs="Arial"/>
          <w:b/>
          <w:bCs/>
          <w:color w:val="C00000"/>
          <w:sz w:val="24"/>
          <w:szCs w:val="24"/>
        </w:rPr>
      </w:pPr>
      <w:bookmarkStart w:id="224" w:name="_Toc384367651"/>
      <w:bookmarkStart w:id="225" w:name="_Toc385001386"/>
      <w:bookmarkStart w:id="226" w:name="_Toc385418255"/>
      <w:bookmarkStart w:id="227" w:name="_Toc386007276"/>
      <w:bookmarkStart w:id="228" w:name="_Toc389666653"/>
      <w:r w:rsidRPr="00926501">
        <w:rPr>
          <w:rFonts w:ascii="Arial" w:hAnsi="Arial" w:cs="Arial"/>
          <w:b/>
          <w:bCs/>
          <w:color w:val="C00000"/>
          <w:sz w:val="24"/>
          <w:szCs w:val="24"/>
        </w:rPr>
        <w:t>Monitoreo, evaluación y seguimiento del Plan Departamental de Empleo</w:t>
      </w:r>
      <w:bookmarkEnd w:id="224"/>
      <w:bookmarkEnd w:id="225"/>
      <w:bookmarkEnd w:id="226"/>
      <w:bookmarkEnd w:id="227"/>
      <w:bookmarkEnd w:id="228"/>
    </w:p>
    <w:p w:rsidR="00381869" w:rsidRPr="003301A6" w:rsidRDefault="00381869" w:rsidP="00381869">
      <w:pPr>
        <w:jc w:val="both"/>
        <w:rPr>
          <w:rFonts w:ascii="Arial" w:hAnsi="Arial" w:cs="Arial"/>
        </w:rPr>
      </w:pPr>
    </w:p>
    <w:p w:rsidR="00381869" w:rsidRPr="00DA7CFF" w:rsidRDefault="00381869" w:rsidP="00381869">
      <w:pPr>
        <w:pStyle w:val="Default"/>
        <w:spacing w:line="276" w:lineRule="auto"/>
        <w:jc w:val="both"/>
        <w:rPr>
          <w:sz w:val="22"/>
          <w:szCs w:val="22"/>
        </w:rPr>
      </w:pPr>
      <w:r w:rsidRPr="00DA7CFF">
        <w:rPr>
          <w:sz w:val="22"/>
          <w:szCs w:val="22"/>
        </w:rPr>
        <w:t>Teniendo en cuenta la gestión desarrollada en territorio en el marco del Programa de Asistencia Técnica para el fortalecimiento de las políticas de empleo, emprendimiento y generación de ingresos, se evidencio la necesidad de construir y diseñar una herramienta informática que permitiera realizar el monitoreo, evaluación y seguimiento a los Planes Departamentales de Empleo y demás actividades inherentes al proceso. Esta herramienta se constituyó como el Banco de Información Regional de Empleo - BIRE la cual dentro de sus funcionalidades permite:</w:t>
      </w:r>
    </w:p>
    <w:p w:rsidR="00381869" w:rsidRPr="00DA7CFF" w:rsidRDefault="00381869" w:rsidP="00381869">
      <w:pPr>
        <w:pStyle w:val="Default"/>
        <w:rPr>
          <w:sz w:val="22"/>
          <w:szCs w:val="22"/>
        </w:rPr>
      </w:pPr>
    </w:p>
    <w:p w:rsidR="00381869" w:rsidRPr="00DA7CFF" w:rsidRDefault="00381869" w:rsidP="00DC6E74">
      <w:pPr>
        <w:pStyle w:val="Default"/>
        <w:numPr>
          <w:ilvl w:val="0"/>
          <w:numId w:val="9"/>
        </w:numPr>
        <w:adjustRightInd/>
        <w:spacing w:line="276" w:lineRule="auto"/>
        <w:rPr>
          <w:sz w:val="22"/>
          <w:szCs w:val="22"/>
        </w:rPr>
      </w:pPr>
      <w:r w:rsidRPr="00DA7CFF">
        <w:rPr>
          <w:sz w:val="22"/>
          <w:szCs w:val="22"/>
        </w:rPr>
        <w:t xml:space="preserve">Almacenar, consultar y analizar información de los diagnósticos sobre las características socioeconómicas regionales. </w:t>
      </w:r>
    </w:p>
    <w:p w:rsidR="00381869" w:rsidRPr="00DA7CFF" w:rsidRDefault="00381869" w:rsidP="00DC6E74">
      <w:pPr>
        <w:pStyle w:val="Default"/>
        <w:numPr>
          <w:ilvl w:val="0"/>
          <w:numId w:val="9"/>
        </w:numPr>
        <w:adjustRightInd/>
        <w:spacing w:line="276" w:lineRule="auto"/>
        <w:rPr>
          <w:sz w:val="22"/>
          <w:szCs w:val="22"/>
        </w:rPr>
      </w:pPr>
      <w:r w:rsidRPr="00DA7CFF">
        <w:rPr>
          <w:sz w:val="22"/>
          <w:szCs w:val="22"/>
        </w:rPr>
        <w:t xml:space="preserve">Interpretación y la toma de decisiones con base en las dinámicas propias de cada región. </w:t>
      </w:r>
    </w:p>
    <w:p w:rsidR="00381869" w:rsidRPr="00DA7CFF" w:rsidRDefault="00381869" w:rsidP="00DC6E74">
      <w:pPr>
        <w:pStyle w:val="Default"/>
        <w:numPr>
          <w:ilvl w:val="0"/>
          <w:numId w:val="9"/>
        </w:numPr>
        <w:adjustRightInd/>
        <w:spacing w:line="276" w:lineRule="auto"/>
        <w:rPr>
          <w:sz w:val="22"/>
          <w:szCs w:val="22"/>
        </w:rPr>
      </w:pPr>
      <w:r w:rsidRPr="00DA7CFF">
        <w:rPr>
          <w:sz w:val="22"/>
          <w:szCs w:val="22"/>
        </w:rPr>
        <w:t xml:space="preserve">Realizar </w:t>
      </w:r>
      <w:r w:rsidR="00601EF8">
        <w:rPr>
          <w:sz w:val="22"/>
          <w:szCs w:val="22"/>
        </w:rPr>
        <w:t xml:space="preserve">el </w:t>
      </w:r>
      <w:r w:rsidRPr="00DA7CFF">
        <w:rPr>
          <w:sz w:val="22"/>
          <w:szCs w:val="22"/>
        </w:rPr>
        <w:t xml:space="preserve">seguimiento a los proyectos incluidos en los planes de empleo de cada territorio, revelando el avance tanto en las fases  como las actividades de los mismos. </w:t>
      </w:r>
    </w:p>
    <w:p w:rsidR="00381869" w:rsidRPr="00DA7CFF" w:rsidRDefault="00381869" w:rsidP="00DC6E74">
      <w:pPr>
        <w:pStyle w:val="Default"/>
        <w:numPr>
          <w:ilvl w:val="0"/>
          <w:numId w:val="9"/>
        </w:numPr>
        <w:adjustRightInd/>
        <w:spacing w:line="276" w:lineRule="auto"/>
        <w:rPr>
          <w:sz w:val="22"/>
          <w:szCs w:val="22"/>
        </w:rPr>
      </w:pPr>
      <w:r w:rsidRPr="00DA7CFF">
        <w:rPr>
          <w:sz w:val="22"/>
          <w:szCs w:val="22"/>
        </w:rPr>
        <w:t xml:space="preserve">Realizar </w:t>
      </w:r>
      <w:r w:rsidR="00601EF8">
        <w:rPr>
          <w:sz w:val="22"/>
          <w:szCs w:val="22"/>
        </w:rPr>
        <w:t xml:space="preserve">el </w:t>
      </w:r>
      <w:r w:rsidRPr="00DA7CFF">
        <w:rPr>
          <w:sz w:val="22"/>
          <w:szCs w:val="22"/>
        </w:rPr>
        <w:t>monitoreo a los compromisos y metas de los planes de empleo.</w:t>
      </w:r>
    </w:p>
    <w:p w:rsidR="00381869" w:rsidRPr="00DA7CFF" w:rsidRDefault="00381869" w:rsidP="00DC6E74">
      <w:pPr>
        <w:pStyle w:val="Default"/>
        <w:numPr>
          <w:ilvl w:val="0"/>
          <w:numId w:val="9"/>
        </w:numPr>
        <w:adjustRightInd/>
        <w:spacing w:line="276" w:lineRule="auto"/>
        <w:rPr>
          <w:sz w:val="22"/>
          <w:szCs w:val="22"/>
        </w:rPr>
      </w:pPr>
      <w:r w:rsidRPr="00DA7CFF">
        <w:rPr>
          <w:sz w:val="22"/>
          <w:szCs w:val="22"/>
        </w:rPr>
        <w:t>Realiza</w:t>
      </w:r>
      <w:r>
        <w:rPr>
          <w:sz w:val="22"/>
          <w:szCs w:val="22"/>
        </w:rPr>
        <w:t>r</w:t>
      </w:r>
      <w:r w:rsidRPr="00DA7CFF">
        <w:rPr>
          <w:sz w:val="22"/>
          <w:szCs w:val="22"/>
        </w:rPr>
        <w:t xml:space="preserve"> </w:t>
      </w:r>
      <w:r w:rsidR="00601EF8">
        <w:rPr>
          <w:sz w:val="22"/>
          <w:szCs w:val="22"/>
        </w:rPr>
        <w:t xml:space="preserve">el </w:t>
      </w:r>
      <w:r w:rsidRPr="00DA7CFF">
        <w:rPr>
          <w:sz w:val="22"/>
          <w:szCs w:val="22"/>
        </w:rPr>
        <w:t>seguimiento a</w:t>
      </w:r>
      <w:r>
        <w:rPr>
          <w:sz w:val="22"/>
          <w:szCs w:val="22"/>
        </w:rPr>
        <w:t xml:space="preserve"> </w:t>
      </w:r>
      <w:r w:rsidRPr="00DA7CFF">
        <w:rPr>
          <w:sz w:val="22"/>
          <w:szCs w:val="22"/>
        </w:rPr>
        <w:t xml:space="preserve">la gestión relacionada con la ejecución de la asistencia técnica. </w:t>
      </w:r>
    </w:p>
    <w:p w:rsidR="00381869" w:rsidRPr="00DA7CFF" w:rsidRDefault="00381869" w:rsidP="00DC6E74">
      <w:pPr>
        <w:pStyle w:val="Default"/>
        <w:numPr>
          <w:ilvl w:val="0"/>
          <w:numId w:val="9"/>
        </w:numPr>
        <w:adjustRightInd/>
        <w:spacing w:line="276" w:lineRule="auto"/>
        <w:rPr>
          <w:color w:val="auto"/>
          <w:sz w:val="22"/>
          <w:szCs w:val="22"/>
        </w:rPr>
      </w:pPr>
      <w:r w:rsidRPr="00DA7CFF">
        <w:rPr>
          <w:sz w:val="22"/>
          <w:szCs w:val="22"/>
        </w:rPr>
        <w:t>Presenta</w:t>
      </w:r>
      <w:r>
        <w:rPr>
          <w:sz w:val="22"/>
          <w:szCs w:val="22"/>
        </w:rPr>
        <w:t>r</w:t>
      </w:r>
      <w:r w:rsidRPr="00DA7CFF">
        <w:rPr>
          <w:sz w:val="22"/>
          <w:szCs w:val="22"/>
        </w:rPr>
        <w:t xml:space="preserve"> </w:t>
      </w:r>
      <w:r w:rsidR="00601EF8">
        <w:rPr>
          <w:sz w:val="22"/>
          <w:szCs w:val="22"/>
        </w:rPr>
        <w:t xml:space="preserve">la </w:t>
      </w:r>
      <w:r w:rsidRPr="00DA7CFF">
        <w:rPr>
          <w:sz w:val="22"/>
          <w:szCs w:val="22"/>
        </w:rPr>
        <w:t>información de oferta institucional pertinente en materia de empleo.  </w:t>
      </w:r>
    </w:p>
    <w:p w:rsidR="00381869" w:rsidRDefault="00381869" w:rsidP="00381869"/>
    <w:p w:rsidR="00381869" w:rsidRDefault="00381869" w:rsidP="00381869">
      <w:pPr>
        <w:rPr>
          <w:rFonts w:ascii="Arial" w:hAnsi="Arial" w:cs="Arial"/>
        </w:rPr>
      </w:pPr>
      <w:r>
        <w:rPr>
          <w:rFonts w:ascii="Arial" w:hAnsi="Arial" w:cs="Arial"/>
        </w:rPr>
        <w:t>Las principales secciones encontradas en el BIRE son:</w:t>
      </w:r>
    </w:p>
    <w:p w:rsidR="00381869" w:rsidRDefault="00381869" w:rsidP="00DC6E74">
      <w:pPr>
        <w:numPr>
          <w:ilvl w:val="0"/>
          <w:numId w:val="10"/>
        </w:numPr>
        <w:spacing w:after="200" w:line="276" w:lineRule="auto"/>
        <w:rPr>
          <w:rFonts w:ascii="Arial" w:hAnsi="Arial" w:cs="Arial"/>
        </w:rPr>
      </w:pPr>
      <w:r>
        <w:rPr>
          <w:rFonts w:ascii="Arial" w:hAnsi="Arial" w:cs="Arial"/>
        </w:rPr>
        <w:t>Página de Inicio</w:t>
      </w:r>
    </w:p>
    <w:p w:rsidR="00381869" w:rsidRDefault="00381869" w:rsidP="00381869">
      <w:pPr>
        <w:rPr>
          <w:noProof/>
        </w:rPr>
      </w:pPr>
      <w:r>
        <w:rPr>
          <w:noProof/>
          <w:lang w:eastAsia="es-ES"/>
        </w:rPr>
        <w:lastRenderedPageBreak/>
        <w:drawing>
          <wp:inline distT="0" distB="0" distL="0" distR="0" wp14:anchorId="48F053BE" wp14:editId="46C9804E">
            <wp:extent cx="5505450" cy="3305175"/>
            <wp:effectExtent l="0" t="0" r="0"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47" cstate="print">
                      <a:extLst>
                        <a:ext uri="{28A0092B-C50C-407E-A947-70E740481C1C}">
                          <a14:useLocalDpi xmlns:a14="http://schemas.microsoft.com/office/drawing/2010/main" val="0"/>
                        </a:ext>
                      </a:extLst>
                    </a:blip>
                    <a:srcRect l="4410" t="7843" r="-99" b="2650"/>
                    <a:stretch>
                      <a:fillRect/>
                    </a:stretch>
                  </pic:blipFill>
                  <pic:spPr bwMode="auto">
                    <a:xfrm>
                      <a:off x="0" y="0"/>
                      <a:ext cx="5505450" cy="3305175"/>
                    </a:xfrm>
                    <a:prstGeom prst="rect">
                      <a:avLst/>
                    </a:prstGeom>
                    <a:noFill/>
                    <a:ln>
                      <a:noFill/>
                    </a:ln>
                  </pic:spPr>
                </pic:pic>
              </a:graphicData>
            </a:graphic>
          </wp:inline>
        </w:drawing>
      </w:r>
    </w:p>
    <w:p w:rsidR="00381869" w:rsidRDefault="00381869" w:rsidP="00381869">
      <w:pPr>
        <w:rPr>
          <w:noProof/>
        </w:rPr>
      </w:pPr>
    </w:p>
    <w:p w:rsidR="00381869" w:rsidRDefault="00381869" w:rsidP="00DC6E74">
      <w:pPr>
        <w:numPr>
          <w:ilvl w:val="0"/>
          <w:numId w:val="10"/>
        </w:numPr>
        <w:spacing w:after="200" w:line="276" w:lineRule="auto"/>
        <w:rPr>
          <w:rFonts w:ascii="Arial" w:hAnsi="Arial" w:cs="Arial"/>
        </w:rPr>
      </w:pPr>
      <w:r>
        <w:rPr>
          <w:rFonts w:ascii="Arial" w:hAnsi="Arial" w:cs="Arial"/>
        </w:rPr>
        <w:t>Consulta del Plan Departamental de Empleo</w:t>
      </w:r>
    </w:p>
    <w:p w:rsidR="00381869" w:rsidRDefault="00381869" w:rsidP="00381869">
      <w:pPr>
        <w:rPr>
          <w:rFonts w:ascii="Arial" w:hAnsi="Arial" w:cs="Arial"/>
        </w:rPr>
      </w:pPr>
      <w:r>
        <w:rPr>
          <w:noProof/>
          <w:lang w:eastAsia="es-ES"/>
        </w:rPr>
        <w:drawing>
          <wp:inline distT="0" distB="0" distL="0" distR="0" wp14:anchorId="081B365C" wp14:editId="170110DC">
            <wp:extent cx="5295900" cy="24003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8" cstate="print">
                      <a:extLst>
                        <a:ext uri="{28A0092B-C50C-407E-A947-70E740481C1C}">
                          <a14:useLocalDpi xmlns:a14="http://schemas.microsoft.com/office/drawing/2010/main" val="0"/>
                        </a:ext>
                      </a:extLst>
                    </a:blip>
                    <a:srcRect l="4190" t="8235" r="-99"/>
                    <a:stretch>
                      <a:fillRect/>
                    </a:stretch>
                  </pic:blipFill>
                  <pic:spPr bwMode="auto">
                    <a:xfrm>
                      <a:off x="0" y="0"/>
                      <a:ext cx="5295900" cy="2400300"/>
                    </a:xfrm>
                    <a:prstGeom prst="rect">
                      <a:avLst/>
                    </a:prstGeom>
                    <a:noFill/>
                    <a:ln>
                      <a:noFill/>
                    </a:ln>
                  </pic:spPr>
                </pic:pic>
              </a:graphicData>
            </a:graphic>
          </wp:inline>
        </w:drawing>
      </w:r>
    </w:p>
    <w:p w:rsidR="00381869" w:rsidRDefault="00381869" w:rsidP="00DC6E74">
      <w:pPr>
        <w:numPr>
          <w:ilvl w:val="0"/>
          <w:numId w:val="10"/>
        </w:numPr>
        <w:spacing w:after="200" w:line="276" w:lineRule="auto"/>
        <w:rPr>
          <w:rFonts w:ascii="Arial" w:hAnsi="Arial" w:cs="Arial"/>
        </w:rPr>
      </w:pPr>
      <w:r>
        <w:rPr>
          <w:rFonts w:ascii="Arial" w:hAnsi="Arial" w:cs="Arial"/>
        </w:rPr>
        <w:t>Reporte de Información Socioeconómica</w:t>
      </w:r>
    </w:p>
    <w:p w:rsidR="00381869" w:rsidRDefault="00381869" w:rsidP="00381869">
      <w:pPr>
        <w:rPr>
          <w:rFonts w:ascii="Arial" w:hAnsi="Arial" w:cs="Arial"/>
        </w:rPr>
      </w:pPr>
      <w:r>
        <w:rPr>
          <w:noProof/>
          <w:lang w:eastAsia="es-ES"/>
        </w:rPr>
        <w:lastRenderedPageBreak/>
        <w:drawing>
          <wp:inline distT="0" distB="0" distL="0" distR="0" wp14:anchorId="419D1307" wp14:editId="41EFBE79">
            <wp:extent cx="5286375" cy="24384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49" cstate="print">
                      <a:extLst>
                        <a:ext uri="{28A0092B-C50C-407E-A947-70E740481C1C}">
                          <a14:useLocalDpi xmlns:a14="http://schemas.microsoft.com/office/drawing/2010/main" val="0"/>
                        </a:ext>
                      </a:extLst>
                    </a:blip>
                    <a:srcRect l="4584" t="7855" r="1021" b="1813"/>
                    <a:stretch>
                      <a:fillRect/>
                    </a:stretch>
                  </pic:blipFill>
                  <pic:spPr bwMode="auto">
                    <a:xfrm>
                      <a:off x="0" y="0"/>
                      <a:ext cx="5286375" cy="2438400"/>
                    </a:xfrm>
                    <a:prstGeom prst="rect">
                      <a:avLst/>
                    </a:prstGeom>
                    <a:noFill/>
                    <a:ln>
                      <a:noFill/>
                    </a:ln>
                  </pic:spPr>
                </pic:pic>
              </a:graphicData>
            </a:graphic>
          </wp:inline>
        </w:drawing>
      </w:r>
    </w:p>
    <w:p w:rsidR="00381869" w:rsidRDefault="00381869" w:rsidP="00381869">
      <w:pPr>
        <w:rPr>
          <w:rFonts w:ascii="Arial" w:hAnsi="Arial" w:cs="Arial"/>
        </w:rPr>
      </w:pPr>
    </w:p>
    <w:p w:rsidR="00381869" w:rsidRDefault="00381869" w:rsidP="00DC6E74">
      <w:pPr>
        <w:numPr>
          <w:ilvl w:val="0"/>
          <w:numId w:val="10"/>
        </w:numPr>
        <w:spacing w:after="200" w:line="276" w:lineRule="auto"/>
        <w:rPr>
          <w:rFonts w:ascii="Arial" w:hAnsi="Arial" w:cs="Arial"/>
        </w:rPr>
      </w:pPr>
      <w:r>
        <w:rPr>
          <w:rFonts w:ascii="Arial" w:hAnsi="Arial" w:cs="Arial"/>
        </w:rPr>
        <w:t>Gestión Territorial</w:t>
      </w:r>
    </w:p>
    <w:p w:rsidR="00381869" w:rsidRPr="00DA7CFF" w:rsidRDefault="00381869" w:rsidP="00381869">
      <w:pPr>
        <w:sectPr w:rsidR="00381869" w:rsidRPr="00DA7CFF" w:rsidSect="00C24023">
          <w:pgSz w:w="11900" w:h="16840"/>
          <w:pgMar w:top="1418" w:right="1701" w:bottom="1418" w:left="1701" w:header="709" w:footer="709" w:gutter="0"/>
          <w:cols w:space="708"/>
        </w:sectPr>
      </w:pPr>
      <w:r>
        <w:rPr>
          <w:noProof/>
          <w:lang w:eastAsia="es-ES"/>
        </w:rPr>
        <w:drawing>
          <wp:inline distT="0" distB="0" distL="0" distR="0" wp14:anchorId="47C4762A" wp14:editId="56F5FF46">
            <wp:extent cx="5295900" cy="24860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0" cstate="print">
                      <a:extLst>
                        <a:ext uri="{28A0092B-C50C-407E-A947-70E740481C1C}">
                          <a14:useLocalDpi xmlns:a14="http://schemas.microsoft.com/office/drawing/2010/main" val="0"/>
                        </a:ext>
                      </a:extLst>
                    </a:blip>
                    <a:srcRect l="4245" t="6647" r="1358" b="1511"/>
                    <a:stretch>
                      <a:fillRect/>
                    </a:stretch>
                  </pic:blipFill>
                  <pic:spPr bwMode="auto">
                    <a:xfrm>
                      <a:off x="0" y="0"/>
                      <a:ext cx="5295900" cy="2486025"/>
                    </a:xfrm>
                    <a:prstGeom prst="rect">
                      <a:avLst/>
                    </a:prstGeom>
                    <a:noFill/>
                    <a:ln>
                      <a:noFill/>
                    </a:ln>
                  </pic:spPr>
                </pic:pic>
              </a:graphicData>
            </a:graphic>
          </wp:inline>
        </w:drawing>
      </w:r>
    </w:p>
    <w:p w:rsidR="00381869" w:rsidRDefault="00381869" w:rsidP="00DC6E74">
      <w:pPr>
        <w:keepNext/>
        <w:keepLines/>
        <w:numPr>
          <w:ilvl w:val="0"/>
          <w:numId w:val="28"/>
        </w:numPr>
        <w:spacing w:line="276" w:lineRule="auto"/>
        <w:jc w:val="center"/>
        <w:outlineLvl w:val="0"/>
        <w:rPr>
          <w:rFonts w:ascii="Arial" w:hAnsi="Arial" w:cs="Arial"/>
          <w:b/>
          <w:bCs/>
          <w:color w:val="C00000"/>
          <w:sz w:val="24"/>
          <w:szCs w:val="24"/>
        </w:rPr>
      </w:pPr>
      <w:bookmarkStart w:id="229" w:name="_Toc385418256"/>
      <w:bookmarkStart w:id="230" w:name="_Toc386007277"/>
      <w:bookmarkStart w:id="231" w:name="_Toc389666654"/>
      <w:r w:rsidRPr="00876C12">
        <w:rPr>
          <w:rFonts w:ascii="Arial" w:hAnsi="Arial" w:cs="Arial"/>
          <w:b/>
          <w:bCs/>
          <w:color w:val="C00000"/>
          <w:sz w:val="24"/>
          <w:szCs w:val="24"/>
        </w:rPr>
        <w:lastRenderedPageBreak/>
        <w:t>Recomendaciones</w:t>
      </w:r>
      <w:bookmarkEnd w:id="229"/>
      <w:bookmarkEnd w:id="230"/>
      <w:bookmarkEnd w:id="231"/>
    </w:p>
    <w:p w:rsidR="0032593A" w:rsidRPr="00F93D0C" w:rsidRDefault="0032593A" w:rsidP="00056952">
      <w:pPr>
        <w:autoSpaceDE w:val="0"/>
        <w:autoSpaceDN w:val="0"/>
        <w:adjustRightInd w:val="0"/>
        <w:spacing w:before="240" w:after="240" w:line="276" w:lineRule="auto"/>
        <w:jc w:val="both"/>
        <w:rPr>
          <w:rFonts w:ascii="Arial" w:hAnsi="Arial" w:cs="Arial"/>
        </w:rPr>
      </w:pPr>
      <w:r w:rsidRPr="00F93D0C">
        <w:rPr>
          <w:rFonts w:ascii="Arial" w:hAnsi="Arial" w:cs="Arial"/>
        </w:rPr>
        <w:t>De la elaboración de este Plan de Empleo para el departamento de Bolívar, así como en lo referente a la aplicación de los proyectos y las acciones en marcha, es necesario tener en cuenta algunas recomendaciones respecto a los aspectos metodológicos de la implementación del plan, compromisos locales y regionales, y acciones en marcha.</w:t>
      </w:r>
    </w:p>
    <w:p w:rsidR="0032593A" w:rsidRPr="00F93D0C" w:rsidRDefault="0032593A" w:rsidP="00056952">
      <w:pPr>
        <w:autoSpaceDE w:val="0"/>
        <w:autoSpaceDN w:val="0"/>
        <w:adjustRightInd w:val="0"/>
        <w:spacing w:before="240" w:after="240" w:line="276" w:lineRule="auto"/>
        <w:jc w:val="both"/>
        <w:rPr>
          <w:rFonts w:ascii="Arial" w:hAnsi="Arial" w:cs="Arial"/>
          <w:b/>
        </w:rPr>
      </w:pPr>
      <w:r w:rsidRPr="00F93D0C">
        <w:rPr>
          <w:rFonts w:ascii="Arial" w:hAnsi="Arial" w:cs="Arial"/>
          <w:b/>
        </w:rPr>
        <w:t>Aspectos metodológicos</w:t>
      </w:r>
    </w:p>
    <w:p w:rsidR="0032593A" w:rsidRPr="00F93D0C" w:rsidRDefault="0032593A" w:rsidP="00DC6E74">
      <w:pPr>
        <w:pStyle w:val="Prrafodelista"/>
        <w:numPr>
          <w:ilvl w:val="0"/>
          <w:numId w:val="33"/>
        </w:numPr>
        <w:autoSpaceDE w:val="0"/>
        <w:autoSpaceDN w:val="0"/>
        <w:adjustRightInd w:val="0"/>
        <w:spacing w:before="240" w:after="240" w:line="276" w:lineRule="auto"/>
        <w:jc w:val="both"/>
        <w:rPr>
          <w:rFonts w:ascii="Arial" w:hAnsi="Arial" w:cs="Arial"/>
        </w:rPr>
      </w:pPr>
      <w:r w:rsidRPr="00F93D0C">
        <w:rPr>
          <w:rFonts w:ascii="Arial" w:hAnsi="Arial" w:cs="Arial"/>
        </w:rPr>
        <w:t>Implementar la mesa técnica de empleo regional, con el apoyo del observatorio laboral, con el fin de convertirlo en un espacio riguroso que funcione como marco de referencia para las acciones que se emprendan en materia de empleo. Esta mesa técnica deberá estar acompañada por el Ministerio del Trabajo, dentro de la Subcomisión de Políticas Salariales de esta entidad.</w:t>
      </w:r>
    </w:p>
    <w:p w:rsidR="0032593A" w:rsidRPr="00F93D0C" w:rsidRDefault="0032593A" w:rsidP="00DC6E74">
      <w:pPr>
        <w:pStyle w:val="Prrafodelista"/>
        <w:numPr>
          <w:ilvl w:val="0"/>
          <w:numId w:val="33"/>
        </w:numPr>
        <w:autoSpaceDE w:val="0"/>
        <w:autoSpaceDN w:val="0"/>
        <w:adjustRightInd w:val="0"/>
        <w:spacing w:before="240" w:after="240" w:line="276" w:lineRule="auto"/>
        <w:jc w:val="both"/>
        <w:rPr>
          <w:rFonts w:ascii="Arial" w:hAnsi="Arial" w:cs="Arial"/>
        </w:rPr>
      </w:pPr>
      <w:r w:rsidRPr="00F93D0C">
        <w:rPr>
          <w:rFonts w:ascii="Arial" w:hAnsi="Arial" w:cs="Arial"/>
        </w:rPr>
        <w:t xml:space="preserve">Se deberá propender por la articulación de las diferentes entidades presentes en el departamento para conseguir la consolidación de información real y actualizada en  materia de empleo, que permita la toma de decisiones informada respecto a políticas de generación de empleo, </w:t>
      </w:r>
      <w:proofErr w:type="gramStart"/>
      <w:r w:rsidRPr="00F93D0C">
        <w:rPr>
          <w:rFonts w:ascii="Arial" w:hAnsi="Arial" w:cs="Arial"/>
        </w:rPr>
        <w:t>las micro</w:t>
      </w:r>
      <w:proofErr w:type="gramEnd"/>
      <w:r w:rsidRPr="00F93D0C">
        <w:rPr>
          <w:rFonts w:ascii="Arial" w:hAnsi="Arial" w:cs="Arial"/>
        </w:rPr>
        <w:t>, pequeñas y medianas empresas y las asociaciones productivas. La unidad de gestión encargada de estos aspectos deberá contar con la participación comprometida de todos los actores.</w:t>
      </w:r>
    </w:p>
    <w:p w:rsidR="0032593A" w:rsidRPr="00F93D0C" w:rsidRDefault="0032593A" w:rsidP="00056952">
      <w:pPr>
        <w:autoSpaceDE w:val="0"/>
        <w:autoSpaceDN w:val="0"/>
        <w:adjustRightInd w:val="0"/>
        <w:spacing w:before="240" w:after="240" w:line="276" w:lineRule="auto"/>
        <w:jc w:val="both"/>
        <w:rPr>
          <w:rFonts w:ascii="Arial" w:hAnsi="Arial" w:cs="Arial"/>
          <w:b/>
        </w:rPr>
      </w:pPr>
      <w:r w:rsidRPr="00F93D0C">
        <w:rPr>
          <w:rFonts w:ascii="Arial" w:hAnsi="Arial" w:cs="Arial"/>
          <w:b/>
        </w:rPr>
        <w:t>Compromisos locales y regionales</w:t>
      </w:r>
    </w:p>
    <w:p w:rsidR="0032593A" w:rsidRPr="00F93D0C" w:rsidRDefault="0032593A" w:rsidP="00DC6E74">
      <w:pPr>
        <w:pStyle w:val="Prrafodelista"/>
        <w:numPr>
          <w:ilvl w:val="0"/>
          <w:numId w:val="32"/>
        </w:numPr>
        <w:autoSpaceDE w:val="0"/>
        <w:autoSpaceDN w:val="0"/>
        <w:adjustRightInd w:val="0"/>
        <w:spacing w:before="240" w:after="240" w:line="276" w:lineRule="auto"/>
        <w:jc w:val="both"/>
        <w:rPr>
          <w:rFonts w:ascii="Arial" w:hAnsi="Arial" w:cs="Arial"/>
        </w:rPr>
      </w:pPr>
      <w:r w:rsidRPr="00F93D0C">
        <w:rPr>
          <w:rFonts w:ascii="Arial" w:hAnsi="Arial" w:cs="Arial"/>
        </w:rPr>
        <w:t>Es necesario que se acuerden metas de creación de empleos para cada uno de los proyectos que apliquen y que han sido descritos en este documento, así como sobre los que la Gobernación determine incluir para estructurar así una estrategia en materia de empleo en la que sea fácil identificar responsables y tiempos precisos.</w:t>
      </w:r>
    </w:p>
    <w:p w:rsidR="0032593A" w:rsidRPr="00F93D0C" w:rsidRDefault="0032593A" w:rsidP="00DC6E74">
      <w:pPr>
        <w:pStyle w:val="Prrafodelista"/>
        <w:numPr>
          <w:ilvl w:val="0"/>
          <w:numId w:val="32"/>
        </w:numPr>
        <w:autoSpaceDE w:val="0"/>
        <w:autoSpaceDN w:val="0"/>
        <w:adjustRightInd w:val="0"/>
        <w:spacing w:before="240" w:after="240" w:line="276" w:lineRule="auto"/>
        <w:jc w:val="both"/>
        <w:rPr>
          <w:rFonts w:ascii="Arial" w:hAnsi="Arial" w:cs="Arial"/>
        </w:rPr>
      </w:pPr>
      <w:r w:rsidRPr="00F93D0C">
        <w:rPr>
          <w:rFonts w:ascii="Arial" w:hAnsi="Arial" w:cs="Arial"/>
        </w:rPr>
        <w:t>Sobre el punto anterior, se recomienda además elaborar el plan de acción del plan de empleo propuesto, con el fin de detallar las actividades priorizadas a realizar, que tengan adjudicado presupuestos correspondientes para ser ejecutados en el año 2014.</w:t>
      </w:r>
    </w:p>
    <w:p w:rsidR="0032593A" w:rsidRPr="00F93D0C" w:rsidRDefault="0032593A" w:rsidP="00DC6E74">
      <w:pPr>
        <w:pStyle w:val="Prrafodelista"/>
        <w:numPr>
          <w:ilvl w:val="0"/>
          <w:numId w:val="32"/>
        </w:numPr>
        <w:autoSpaceDE w:val="0"/>
        <w:autoSpaceDN w:val="0"/>
        <w:adjustRightInd w:val="0"/>
        <w:spacing w:before="240" w:after="240" w:line="276" w:lineRule="auto"/>
        <w:jc w:val="both"/>
        <w:rPr>
          <w:rFonts w:ascii="Arial" w:hAnsi="Arial" w:cs="Arial"/>
        </w:rPr>
      </w:pPr>
      <w:r w:rsidRPr="00F93D0C">
        <w:rPr>
          <w:rFonts w:ascii="Arial" w:hAnsi="Arial" w:cs="Arial"/>
        </w:rPr>
        <w:t>Este Plan de Empleo deberá ser tenido en cuenta en la elaboración de los planes de acción de la Gobernación, las alcaldías y los próximos planes de desarrollo, sobre todo en lo referente a los análisis presentados en el plan acerca de los sectores que impulsan el empleo, el estado de la producción y las metas de impacto.</w:t>
      </w:r>
    </w:p>
    <w:p w:rsidR="0032593A" w:rsidRPr="00F93D0C" w:rsidRDefault="0032593A" w:rsidP="00056952">
      <w:pPr>
        <w:autoSpaceDE w:val="0"/>
        <w:autoSpaceDN w:val="0"/>
        <w:adjustRightInd w:val="0"/>
        <w:spacing w:before="240" w:after="240" w:line="276" w:lineRule="auto"/>
        <w:jc w:val="both"/>
        <w:rPr>
          <w:rFonts w:ascii="Arial" w:hAnsi="Arial" w:cs="Arial"/>
          <w:b/>
        </w:rPr>
      </w:pPr>
      <w:r w:rsidRPr="00F93D0C">
        <w:rPr>
          <w:rFonts w:ascii="Arial" w:hAnsi="Arial" w:cs="Arial"/>
          <w:b/>
        </w:rPr>
        <w:t>Factores y acciones en marcha</w:t>
      </w:r>
    </w:p>
    <w:p w:rsidR="0032593A" w:rsidRPr="00F93D0C" w:rsidRDefault="0032593A" w:rsidP="00DC6E74">
      <w:pPr>
        <w:pStyle w:val="Prrafodelista"/>
        <w:numPr>
          <w:ilvl w:val="0"/>
          <w:numId w:val="31"/>
        </w:numPr>
        <w:autoSpaceDE w:val="0"/>
        <w:autoSpaceDN w:val="0"/>
        <w:adjustRightInd w:val="0"/>
        <w:spacing w:before="240" w:after="240" w:line="276" w:lineRule="auto"/>
        <w:jc w:val="both"/>
        <w:rPr>
          <w:rFonts w:ascii="Arial" w:hAnsi="Arial" w:cs="Arial"/>
        </w:rPr>
      </w:pPr>
      <w:r w:rsidRPr="00F93D0C">
        <w:rPr>
          <w:rFonts w:ascii="Arial" w:hAnsi="Arial" w:cs="Arial"/>
        </w:rPr>
        <w:t>Se requiere la implementación de un servicio de orientación vocacional y ocupacional, desde el Servicio Público de Empleo en los municipios del departamento.</w:t>
      </w:r>
    </w:p>
    <w:p w:rsidR="0032593A" w:rsidRPr="00056952" w:rsidRDefault="0032593A" w:rsidP="00DC6E74">
      <w:pPr>
        <w:pStyle w:val="Prrafodelista"/>
        <w:numPr>
          <w:ilvl w:val="0"/>
          <w:numId w:val="31"/>
        </w:numPr>
        <w:autoSpaceDE w:val="0"/>
        <w:autoSpaceDN w:val="0"/>
        <w:adjustRightInd w:val="0"/>
        <w:spacing w:before="240" w:after="240" w:line="276" w:lineRule="auto"/>
        <w:jc w:val="both"/>
        <w:rPr>
          <w:rFonts w:ascii="Arial" w:hAnsi="Arial" w:cs="Arial"/>
        </w:rPr>
      </w:pPr>
      <w:r w:rsidRPr="00F93D0C">
        <w:rPr>
          <w:rFonts w:ascii="Arial" w:hAnsi="Arial" w:cs="Arial"/>
        </w:rPr>
        <w:t>Es necesario consolidar el establecimiento de un sistema de inspección laboral para la defensa de los derechos laborales de los trabajadores en los municipios el departamento de Bolívar.</w:t>
      </w:r>
    </w:p>
    <w:p w:rsidR="0032593A" w:rsidRPr="00F93D0C" w:rsidRDefault="0032593A" w:rsidP="00DC6E74">
      <w:pPr>
        <w:pStyle w:val="Prrafodelista"/>
        <w:numPr>
          <w:ilvl w:val="0"/>
          <w:numId w:val="31"/>
        </w:numPr>
        <w:autoSpaceDE w:val="0"/>
        <w:autoSpaceDN w:val="0"/>
        <w:adjustRightInd w:val="0"/>
        <w:spacing w:before="240" w:after="240" w:line="276" w:lineRule="auto"/>
        <w:jc w:val="both"/>
        <w:rPr>
          <w:rFonts w:ascii="Arial" w:hAnsi="Arial" w:cs="Arial"/>
        </w:rPr>
      </w:pPr>
      <w:r w:rsidRPr="00F93D0C">
        <w:rPr>
          <w:rFonts w:ascii="Arial" w:hAnsi="Arial" w:cs="Arial"/>
        </w:rPr>
        <w:lastRenderedPageBreak/>
        <w:t>También se recomienda conformar una red público - privada que articule, ejecute y monitoree la formulación de proyectos orientados a la promoción del empleo. Esta red deberá ser liderada por la Gobernación de Bolívar.</w:t>
      </w:r>
    </w:p>
    <w:p w:rsidR="0032593A" w:rsidRPr="00F93D0C" w:rsidRDefault="0032593A" w:rsidP="00DC6E74">
      <w:pPr>
        <w:pStyle w:val="Prrafodelista"/>
        <w:numPr>
          <w:ilvl w:val="0"/>
          <w:numId w:val="31"/>
        </w:numPr>
        <w:autoSpaceDE w:val="0"/>
        <w:autoSpaceDN w:val="0"/>
        <w:adjustRightInd w:val="0"/>
        <w:spacing w:before="240" w:after="240" w:line="276" w:lineRule="auto"/>
        <w:jc w:val="both"/>
        <w:rPr>
          <w:rFonts w:ascii="Arial" w:hAnsi="Arial" w:cs="Arial"/>
        </w:rPr>
      </w:pPr>
      <w:r w:rsidRPr="00F93D0C">
        <w:rPr>
          <w:rFonts w:ascii="Arial" w:hAnsi="Arial" w:cs="Arial"/>
        </w:rPr>
        <w:t>Es necesario lograr una mayor interacción entre las comisiones de competitividad regional, subcomisión departamental de concertación de políticas salariales y laborales, el gobierno departamental y municipal, para la revisión y ajustes de las acciones a llevar a cabo en materia de empleo en el departamento.</w:t>
      </w:r>
    </w:p>
    <w:p w:rsidR="00C540D4" w:rsidRDefault="00C540D4">
      <w:pPr>
        <w:spacing w:after="200" w:line="276" w:lineRule="auto"/>
        <w:rPr>
          <w:rFonts w:ascii="Arial" w:hAnsi="Arial" w:cs="Arial"/>
        </w:rPr>
      </w:pPr>
      <w:r>
        <w:rPr>
          <w:rFonts w:ascii="Arial" w:hAnsi="Arial" w:cs="Arial"/>
        </w:rPr>
        <w:br w:type="page"/>
      </w:r>
    </w:p>
    <w:p w:rsidR="0032593A" w:rsidRPr="00876C12" w:rsidRDefault="0032593A" w:rsidP="0032593A"/>
    <w:p w:rsidR="00381869" w:rsidRDefault="00381869" w:rsidP="00BD4679">
      <w:pPr>
        <w:autoSpaceDE w:val="0"/>
        <w:autoSpaceDN w:val="0"/>
        <w:adjustRightInd w:val="0"/>
        <w:spacing w:line="276" w:lineRule="auto"/>
        <w:jc w:val="both"/>
        <w:rPr>
          <w:rFonts w:ascii="Arial" w:hAnsi="Arial" w:cs="Arial"/>
        </w:rPr>
      </w:pPr>
    </w:p>
    <w:p w:rsidR="00381869" w:rsidRPr="0032593A" w:rsidRDefault="00E778E4" w:rsidP="00DC6E74">
      <w:pPr>
        <w:pStyle w:val="Prrafodelista"/>
        <w:keepNext/>
        <w:keepLines/>
        <w:numPr>
          <w:ilvl w:val="0"/>
          <w:numId w:val="28"/>
        </w:numPr>
        <w:spacing w:line="276" w:lineRule="auto"/>
        <w:jc w:val="center"/>
        <w:outlineLvl w:val="0"/>
        <w:rPr>
          <w:rFonts w:ascii="Arial" w:hAnsi="Arial" w:cs="Arial"/>
          <w:b/>
          <w:bCs/>
          <w:color w:val="C00000"/>
          <w:sz w:val="24"/>
          <w:szCs w:val="24"/>
        </w:rPr>
      </w:pPr>
      <w:bookmarkStart w:id="232" w:name="_Toc389666655"/>
      <w:r w:rsidRPr="0032593A">
        <w:rPr>
          <w:rFonts w:ascii="Arial" w:hAnsi="Arial" w:cs="Arial"/>
          <w:b/>
          <w:bCs/>
          <w:color w:val="C00000"/>
          <w:sz w:val="24"/>
          <w:szCs w:val="24"/>
        </w:rPr>
        <w:t xml:space="preserve">Referencias </w:t>
      </w:r>
      <w:r w:rsidR="00381869" w:rsidRPr="0032593A">
        <w:rPr>
          <w:rFonts w:ascii="Arial" w:hAnsi="Arial" w:cs="Arial"/>
          <w:b/>
          <w:bCs/>
          <w:color w:val="C00000"/>
          <w:sz w:val="24"/>
          <w:szCs w:val="24"/>
        </w:rPr>
        <w:t>Bibliogr</w:t>
      </w:r>
      <w:r w:rsidRPr="0032593A">
        <w:rPr>
          <w:rFonts w:ascii="Arial" w:hAnsi="Arial" w:cs="Arial"/>
          <w:b/>
          <w:bCs/>
          <w:color w:val="C00000"/>
          <w:sz w:val="24"/>
          <w:szCs w:val="24"/>
        </w:rPr>
        <w:t>áficas</w:t>
      </w:r>
      <w:bookmarkEnd w:id="232"/>
    </w:p>
    <w:p w:rsidR="00E778E4" w:rsidRPr="00876C12" w:rsidRDefault="00E778E4" w:rsidP="00E778E4"/>
    <w:p w:rsidR="00381869" w:rsidRDefault="00381869" w:rsidP="00E778E4">
      <w:pPr>
        <w:autoSpaceDE w:val="0"/>
        <w:autoSpaceDN w:val="0"/>
        <w:adjustRightInd w:val="0"/>
        <w:spacing w:line="276" w:lineRule="auto"/>
        <w:jc w:val="both"/>
        <w:rPr>
          <w:rFonts w:ascii="Arial" w:hAnsi="Arial" w:cs="Arial"/>
        </w:rPr>
      </w:pPr>
    </w:p>
    <w:p w:rsidR="003B3201" w:rsidRPr="00636390" w:rsidRDefault="003B3201" w:rsidP="003B3201">
      <w:pPr>
        <w:autoSpaceDE w:val="0"/>
        <w:autoSpaceDN w:val="0"/>
        <w:adjustRightInd w:val="0"/>
        <w:spacing w:line="276" w:lineRule="auto"/>
        <w:jc w:val="both"/>
        <w:rPr>
          <w:rFonts w:ascii="Arial" w:eastAsiaTheme="minorHAnsi" w:hAnsi="Arial" w:cs="Arial"/>
          <w:lang w:val="es-CO"/>
        </w:rPr>
      </w:pPr>
      <w:r w:rsidRPr="00636390">
        <w:rPr>
          <w:rFonts w:ascii="Arial" w:eastAsiaTheme="minorHAnsi" w:hAnsi="Arial" w:cs="Arial"/>
          <w:lang w:val="es-CO"/>
        </w:rPr>
        <w:t>Cámara de Comercio de Cartagena</w:t>
      </w:r>
      <w:r>
        <w:rPr>
          <w:rFonts w:ascii="Arial" w:eastAsiaTheme="minorHAnsi" w:hAnsi="Arial" w:cs="Arial"/>
          <w:lang w:val="es-CO"/>
        </w:rPr>
        <w:t xml:space="preserve"> (2008)</w:t>
      </w:r>
      <w:r w:rsidRPr="00636390">
        <w:rPr>
          <w:rFonts w:ascii="Arial" w:eastAsiaTheme="minorHAnsi" w:hAnsi="Arial" w:cs="Arial"/>
          <w:lang w:val="es-CO"/>
        </w:rPr>
        <w:t xml:space="preserve">. </w:t>
      </w:r>
      <w:r w:rsidRPr="00636390">
        <w:rPr>
          <w:rFonts w:ascii="Arial" w:eastAsiaTheme="minorHAnsi" w:hAnsi="Arial" w:cs="Arial"/>
          <w:i/>
          <w:lang w:val="es-CO"/>
        </w:rPr>
        <w:t xml:space="preserve">Proyecto Piloto de Restitución de Tierras de </w:t>
      </w:r>
      <w:proofErr w:type="spellStart"/>
      <w:r w:rsidRPr="00636390">
        <w:rPr>
          <w:rFonts w:ascii="Arial" w:eastAsiaTheme="minorHAnsi" w:hAnsi="Arial" w:cs="Arial"/>
          <w:i/>
          <w:lang w:val="es-CO"/>
        </w:rPr>
        <w:t>Mampuján</w:t>
      </w:r>
      <w:proofErr w:type="spellEnd"/>
      <w:r w:rsidRPr="00636390">
        <w:rPr>
          <w:rFonts w:ascii="Arial" w:eastAsiaTheme="minorHAnsi" w:hAnsi="Arial" w:cs="Arial"/>
          <w:lang w:val="es-CO"/>
        </w:rPr>
        <w:t>. Disponible en: http://cccartagena.org.co/mampujan/files/sec05.html</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621C81" w:rsidRDefault="003B3201" w:rsidP="003B3201">
      <w:pPr>
        <w:autoSpaceDE w:val="0"/>
        <w:autoSpaceDN w:val="0"/>
        <w:adjustRightInd w:val="0"/>
        <w:spacing w:line="276" w:lineRule="auto"/>
        <w:jc w:val="both"/>
        <w:rPr>
          <w:rFonts w:ascii="Arial" w:eastAsiaTheme="minorHAnsi" w:hAnsi="Arial" w:cs="Arial"/>
          <w:lang w:val="es-CO"/>
        </w:rPr>
      </w:pPr>
      <w:r w:rsidRPr="00621C81">
        <w:rPr>
          <w:rFonts w:ascii="Arial" w:eastAsiaTheme="minorHAnsi" w:hAnsi="Arial" w:cs="Arial"/>
          <w:lang w:val="es-CO"/>
        </w:rPr>
        <w:t xml:space="preserve">Cámara de Comercio de Cartagena (2013). </w:t>
      </w:r>
      <w:r w:rsidRPr="00621C81">
        <w:rPr>
          <w:rFonts w:ascii="Arial" w:eastAsiaTheme="minorHAnsi" w:hAnsi="Arial" w:cs="Arial"/>
          <w:i/>
          <w:lang w:val="es-CO"/>
        </w:rPr>
        <w:t>Cartagena en Cifras.</w:t>
      </w:r>
      <w:r w:rsidRPr="00621C81">
        <w:rPr>
          <w:rFonts w:ascii="Arial" w:eastAsiaTheme="minorHAnsi" w:hAnsi="Arial" w:cs="Arial"/>
          <w:lang w:val="es-CO"/>
        </w:rPr>
        <w:t xml:space="preserve"> Disponible en: http://www.cccartagena.org.co/docs/2013051708_ctg-cifras_marzo2013.pdf</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2587D" w:rsidRDefault="003B3201" w:rsidP="003B3201">
      <w:pPr>
        <w:autoSpaceDE w:val="0"/>
        <w:autoSpaceDN w:val="0"/>
        <w:adjustRightInd w:val="0"/>
        <w:spacing w:line="276" w:lineRule="auto"/>
        <w:jc w:val="both"/>
        <w:rPr>
          <w:rFonts w:ascii="Arial" w:eastAsiaTheme="minorHAnsi" w:hAnsi="Arial" w:cs="Arial"/>
          <w:lang w:val="es-CO"/>
        </w:rPr>
      </w:pPr>
      <w:r w:rsidRPr="0042587D">
        <w:rPr>
          <w:rFonts w:ascii="Arial" w:eastAsiaTheme="minorHAnsi" w:hAnsi="Arial" w:cs="Arial"/>
          <w:lang w:val="es-CO"/>
        </w:rPr>
        <w:t xml:space="preserve">CONFECAMARAS y Observatorio del Caribe Colombiano-OCARIBE (2011). </w:t>
      </w:r>
      <w:r w:rsidRPr="0042587D">
        <w:rPr>
          <w:rFonts w:ascii="Arial" w:eastAsiaTheme="minorHAnsi" w:hAnsi="Arial" w:cs="Arial"/>
          <w:i/>
          <w:lang w:val="es-CO"/>
        </w:rPr>
        <w:t xml:space="preserve">Programa de asistencia técnica a las comisiones regionales de competitividad. </w:t>
      </w:r>
      <w:r w:rsidRPr="0042587D">
        <w:rPr>
          <w:rFonts w:ascii="Arial" w:eastAsiaTheme="minorHAnsi" w:hAnsi="Arial" w:cs="Arial"/>
          <w:lang w:val="es-CO"/>
        </w:rPr>
        <w:t xml:space="preserve">Disponible en: </w:t>
      </w:r>
      <w:r w:rsidRPr="00C52EE7">
        <w:rPr>
          <w:rFonts w:ascii="Arial" w:eastAsiaTheme="minorHAnsi" w:hAnsi="Arial" w:cs="Arial"/>
          <w:lang w:val="es-CO"/>
        </w:rPr>
        <w:t>http://www.ocaribe.org/investigaciones_info_realizadas.php?la=es&amp;id_investigacion=26</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C52EE7" w:rsidRDefault="003B3201" w:rsidP="003B3201">
      <w:pPr>
        <w:autoSpaceDE w:val="0"/>
        <w:autoSpaceDN w:val="0"/>
        <w:adjustRightInd w:val="0"/>
        <w:spacing w:line="276" w:lineRule="auto"/>
        <w:jc w:val="both"/>
        <w:rPr>
          <w:rFonts w:ascii="Arial" w:eastAsiaTheme="minorHAnsi" w:hAnsi="Arial" w:cs="Arial"/>
          <w:lang w:val="es-CO"/>
        </w:rPr>
      </w:pPr>
      <w:r w:rsidRPr="00C52EE7">
        <w:rPr>
          <w:rFonts w:ascii="Arial" w:eastAsiaTheme="minorHAnsi" w:hAnsi="Arial" w:cs="Arial"/>
          <w:lang w:val="es-CO"/>
        </w:rPr>
        <w:t xml:space="preserve">Departamento Administrativo Nacional de Estadística – DANE y Banco de la República (2012). </w:t>
      </w:r>
      <w:r w:rsidRPr="00C52EE7">
        <w:rPr>
          <w:rFonts w:ascii="Arial" w:eastAsiaTheme="minorHAnsi" w:hAnsi="Arial" w:cs="Arial"/>
          <w:i/>
          <w:lang w:val="es-CO"/>
        </w:rPr>
        <w:t>Informe de Coyuntura Económica Regional - ICER</w:t>
      </w:r>
      <w:r w:rsidRPr="00C52EE7">
        <w:rPr>
          <w:rFonts w:ascii="Arial" w:eastAsiaTheme="minorHAnsi" w:hAnsi="Arial" w:cs="Arial"/>
          <w:lang w:val="es-CO"/>
        </w:rPr>
        <w:t xml:space="preserve">. Disponible en: </w:t>
      </w:r>
      <w:r w:rsidRPr="00C52EE7">
        <w:rPr>
          <w:rFonts w:ascii="Arial" w:hAnsi="Arial" w:cs="Arial"/>
        </w:rPr>
        <w:t>http://www.banrep.gov.co/sites/default/files/publicaciones/archivos/icer_bolivar_2012.pdf</w:t>
      </w:r>
    </w:p>
    <w:p w:rsidR="003B3201" w:rsidRDefault="003B3201" w:rsidP="003B3201">
      <w:pPr>
        <w:jc w:val="both"/>
        <w:rPr>
          <w:rFonts w:ascii="Arial" w:hAnsi="Arial" w:cs="Arial"/>
        </w:rPr>
      </w:pPr>
    </w:p>
    <w:p w:rsidR="003B3201" w:rsidRPr="00783A49" w:rsidRDefault="003B3201" w:rsidP="003B3201">
      <w:pPr>
        <w:jc w:val="both"/>
        <w:rPr>
          <w:rFonts w:ascii="Arial" w:hAnsi="Arial" w:cs="Arial"/>
        </w:rPr>
      </w:pPr>
      <w:r w:rsidRPr="00783A49">
        <w:rPr>
          <w:rFonts w:ascii="Arial" w:hAnsi="Arial" w:cs="Arial"/>
        </w:rPr>
        <w:t>Departamento Administrativo Nacional de Estadística (DANE).  División Político Administrativa de Colombia – Divipola.  Disponible en https://www.dane.gov.co/Divipola/</w:t>
      </w:r>
    </w:p>
    <w:p w:rsidR="003B3201" w:rsidRDefault="003B3201" w:rsidP="003B3201">
      <w:pPr>
        <w:jc w:val="both"/>
        <w:rPr>
          <w:rFonts w:ascii="Arial" w:hAnsi="Arial" w:cs="Arial"/>
        </w:rPr>
      </w:pPr>
    </w:p>
    <w:p w:rsidR="003B3201" w:rsidRPr="001A366A" w:rsidRDefault="003B3201" w:rsidP="003B3201">
      <w:pPr>
        <w:jc w:val="both"/>
        <w:rPr>
          <w:rFonts w:ascii="Arial" w:hAnsi="Arial" w:cs="Arial"/>
        </w:rPr>
      </w:pPr>
      <w:r w:rsidRPr="001A366A">
        <w:rPr>
          <w:rFonts w:ascii="Arial" w:hAnsi="Arial" w:cs="Arial"/>
        </w:rPr>
        <w:t xml:space="preserve">Departamento Administrativo Nacional de Estadística (DANE). </w:t>
      </w:r>
      <w:r w:rsidRPr="001A366A">
        <w:rPr>
          <w:rFonts w:ascii="Arial" w:hAnsi="Arial" w:cs="Arial"/>
          <w:i/>
        </w:rPr>
        <w:t xml:space="preserve"> Sistema de Cuentas Nacionales - SCN.  </w:t>
      </w:r>
      <w:r w:rsidRPr="001A366A">
        <w:rPr>
          <w:rFonts w:ascii="Arial" w:hAnsi="Arial" w:cs="Arial"/>
        </w:rPr>
        <w:t>Disponible en  http://www.dane.gov.co/index.php?option=com_content&amp;view=article&amp;id=127&amp;Itemid=84</w:t>
      </w:r>
    </w:p>
    <w:p w:rsidR="003B3201" w:rsidRDefault="003B3201" w:rsidP="003B3201">
      <w:pPr>
        <w:pStyle w:val="Textonotapie"/>
        <w:jc w:val="both"/>
        <w:rPr>
          <w:rFonts w:ascii="Arial" w:eastAsia="Cambria" w:hAnsi="Arial" w:cs="Arial"/>
          <w:sz w:val="22"/>
          <w:szCs w:val="22"/>
          <w:lang w:val="es-CO"/>
        </w:rPr>
      </w:pPr>
    </w:p>
    <w:p w:rsidR="003B3201" w:rsidRDefault="003B3201" w:rsidP="003B3201">
      <w:pPr>
        <w:pStyle w:val="Textonotapie"/>
        <w:jc w:val="both"/>
        <w:rPr>
          <w:rFonts w:ascii="Arial" w:eastAsia="Cambria" w:hAnsi="Arial" w:cs="Arial"/>
          <w:sz w:val="22"/>
          <w:szCs w:val="22"/>
          <w:lang w:val="es-CO"/>
        </w:rPr>
      </w:pPr>
      <w:r w:rsidRPr="009E3B4F">
        <w:rPr>
          <w:rFonts w:ascii="Arial" w:eastAsia="Cambria" w:hAnsi="Arial" w:cs="Arial"/>
          <w:sz w:val="22"/>
          <w:szCs w:val="22"/>
          <w:lang w:val="es-CO"/>
        </w:rPr>
        <w:t xml:space="preserve">Departamento Administrativo Nacional de Estadística (DANE). Archivo nacional de datos (2011). </w:t>
      </w:r>
      <w:r w:rsidRPr="009E3B4F">
        <w:rPr>
          <w:rFonts w:ascii="Arial" w:eastAsia="Cambria" w:hAnsi="Arial" w:cs="Arial"/>
          <w:i/>
          <w:sz w:val="22"/>
          <w:szCs w:val="22"/>
          <w:lang w:val="es-CO"/>
        </w:rPr>
        <w:t>Gran Encuesta Integrada de Hogares</w:t>
      </w:r>
      <w:r w:rsidRPr="009E3B4F">
        <w:rPr>
          <w:rFonts w:ascii="Arial" w:eastAsia="Cambria" w:hAnsi="Arial" w:cs="Arial"/>
          <w:sz w:val="22"/>
          <w:szCs w:val="22"/>
          <w:lang w:val="es-CO"/>
        </w:rPr>
        <w:t>. Disponible en http://www.dane.gov.co/index.php/en/ocupacion-y-empleo/gran-encuesta-integrada-de-hogares.</w:t>
      </w:r>
    </w:p>
    <w:p w:rsidR="003B3201" w:rsidRPr="00D50BD9" w:rsidRDefault="003B3201" w:rsidP="003B3201">
      <w:pPr>
        <w:pStyle w:val="Textonotapie"/>
        <w:jc w:val="both"/>
        <w:rPr>
          <w:rFonts w:ascii="Arial" w:eastAsia="Cambria" w:hAnsi="Arial" w:cs="Arial"/>
          <w:sz w:val="22"/>
          <w:szCs w:val="22"/>
          <w:lang w:val="es-CO"/>
        </w:rPr>
      </w:pPr>
    </w:p>
    <w:p w:rsidR="003B3201" w:rsidRPr="001A366A" w:rsidRDefault="003B3201" w:rsidP="003B3201">
      <w:pPr>
        <w:jc w:val="both"/>
        <w:rPr>
          <w:rFonts w:ascii="Arial" w:eastAsia="Times New Roman" w:hAnsi="Arial" w:cs="Arial"/>
          <w:lang w:val="es-CO"/>
        </w:rPr>
      </w:pPr>
      <w:r w:rsidRPr="001A366A">
        <w:rPr>
          <w:rFonts w:ascii="Arial" w:eastAsia="Times New Roman" w:hAnsi="Arial" w:cs="Arial"/>
          <w:lang w:val="es-CO"/>
        </w:rPr>
        <w:t xml:space="preserve">Departamento Administrativo Nacional de Estadística (DANE). Estudios </w:t>
      </w:r>
      <w:proofErr w:type="spellStart"/>
      <w:r w:rsidRPr="001A366A">
        <w:rPr>
          <w:rFonts w:ascii="Arial" w:eastAsia="Times New Roman" w:hAnsi="Arial" w:cs="Arial"/>
          <w:lang w:val="es-CO"/>
        </w:rPr>
        <w:t>postcensales</w:t>
      </w:r>
      <w:proofErr w:type="spellEnd"/>
      <w:r w:rsidRPr="001A366A">
        <w:rPr>
          <w:rFonts w:ascii="Arial" w:eastAsia="Times New Roman" w:hAnsi="Arial" w:cs="Arial"/>
          <w:lang w:val="es-CO"/>
        </w:rPr>
        <w:t xml:space="preserve"> (2010). </w:t>
      </w:r>
      <w:r w:rsidRPr="001A366A">
        <w:rPr>
          <w:rFonts w:ascii="Arial" w:eastAsia="Times New Roman" w:hAnsi="Arial" w:cs="Arial"/>
          <w:i/>
          <w:lang w:val="es-CO"/>
        </w:rPr>
        <w:t>Proyecciones nacionales y departamentales de población 2005-2020.</w:t>
      </w:r>
      <w:r w:rsidRPr="001A366A">
        <w:rPr>
          <w:rFonts w:ascii="Arial" w:eastAsia="Times New Roman" w:hAnsi="Arial" w:cs="Arial"/>
          <w:lang w:val="es-CO"/>
        </w:rPr>
        <w:t xml:space="preserve"> Disponible en http://www.dane.gov.co/files/investigaciones/poblacion/proyepobla06_20/7Proyecciones_poblacion.pdf</w:t>
      </w:r>
    </w:p>
    <w:p w:rsidR="003B3201" w:rsidRDefault="003B3201" w:rsidP="003B3201">
      <w:pPr>
        <w:autoSpaceDE w:val="0"/>
        <w:autoSpaceDN w:val="0"/>
        <w:adjustRightInd w:val="0"/>
        <w:jc w:val="both"/>
        <w:rPr>
          <w:rFonts w:ascii="Arial" w:eastAsia="Cambria" w:hAnsi="Arial" w:cs="Arial"/>
          <w:lang w:val="es-CO" w:eastAsia="es-CO"/>
        </w:rPr>
      </w:pPr>
    </w:p>
    <w:p w:rsidR="003B3201" w:rsidRPr="001A366A" w:rsidRDefault="003B3201" w:rsidP="003B3201">
      <w:pPr>
        <w:autoSpaceDE w:val="0"/>
        <w:autoSpaceDN w:val="0"/>
        <w:adjustRightInd w:val="0"/>
        <w:jc w:val="both"/>
        <w:rPr>
          <w:rFonts w:ascii="Arial" w:eastAsia="Cambria" w:hAnsi="Arial" w:cs="Arial"/>
          <w:lang w:eastAsia="es-CO"/>
        </w:rPr>
      </w:pPr>
      <w:r w:rsidRPr="001A366A">
        <w:rPr>
          <w:rFonts w:ascii="Arial" w:eastAsia="Cambria" w:hAnsi="Arial" w:cs="Arial"/>
          <w:lang w:val="es-CO" w:eastAsia="es-CO"/>
        </w:rPr>
        <w:t xml:space="preserve">Departamento Administrativo Nacional de Estadística (DANE). Información estadística (2011). </w:t>
      </w:r>
      <w:r w:rsidRPr="001A366A">
        <w:rPr>
          <w:rFonts w:ascii="Arial" w:eastAsia="Cambria" w:hAnsi="Arial" w:cs="Arial"/>
          <w:i/>
          <w:lang w:val="es-CO" w:eastAsia="es-CO"/>
        </w:rPr>
        <w:t>Necesidades Básicas Insatisfechas</w:t>
      </w:r>
      <w:r w:rsidRPr="001A366A">
        <w:rPr>
          <w:rFonts w:ascii="Arial" w:eastAsia="Cambria" w:hAnsi="Arial" w:cs="Arial"/>
          <w:lang w:val="es-CO" w:eastAsia="es-CO"/>
        </w:rPr>
        <w:t>. Disponible en https://www.dane.gov.co/index.php/estadisticas-sociales/necesidades-basicas-insatisfechas-nbi</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Default="003B3201" w:rsidP="003B3201">
      <w:pPr>
        <w:autoSpaceDE w:val="0"/>
        <w:autoSpaceDN w:val="0"/>
        <w:adjustRightInd w:val="0"/>
        <w:spacing w:line="276" w:lineRule="auto"/>
        <w:jc w:val="both"/>
        <w:rPr>
          <w:rFonts w:ascii="Arial" w:eastAsia="Cambria" w:hAnsi="Arial" w:cs="Arial"/>
          <w:lang w:val="es-CO" w:eastAsia="es-CO"/>
        </w:rPr>
      </w:pPr>
      <w:r w:rsidRPr="001A366A">
        <w:rPr>
          <w:rFonts w:ascii="Arial" w:eastAsia="Cambria" w:hAnsi="Arial" w:cs="Arial"/>
          <w:lang w:val="es-CO" w:eastAsia="es-CO"/>
        </w:rPr>
        <w:t>Departamento Administ</w:t>
      </w:r>
      <w:r>
        <w:rPr>
          <w:rFonts w:ascii="Arial" w:eastAsia="Cambria" w:hAnsi="Arial" w:cs="Arial"/>
          <w:lang w:val="es-CO" w:eastAsia="es-CO"/>
        </w:rPr>
        <w:t>rativo Nacional de Estadística –</w:t>
      </w:r>
      <w:r w:rsidRPr="001A366A">
        <w:rPr>
          <w:rFonts w:ascii="Arial" w:eastAsia="Cambria" w:hAnsi="Arial" w:cs="Arial"/>
          <w:lang w:val="es-CO" w:eastAsia="es-CO"/>
        </w:rPr>
        <w:t>DANE</w:t>
      </w:r>
      <w:r>
        <w:rPr>
          <w:rFonts w:ascii="Arial" w:eastAsia="Cambria" w:hAnsi="Arial" w:cs="Arial"/>
          <w:lang w:val="es-CO" w:eastAsia="es-CO"/>
        </w:rPr>
        <w:t xml:space="preserve"> (2013). </w:t>
      </w:r>
      <w:r w:rsidRPr="000E60F2">
        <w:rPr>
          <w:rFonts w:ascii="Arial" w:eastAsia="Cambria" w:hAnsi="Arial" w:cs="Arial"/>
          <w:i/>
          <w:lang w:val="es-CO" w:eastAsia="es-CO"/>
        </w:rPr>
        <w:t>Cuentas departamentales.</w:t>
      </w:r>
      <w:r>
        <w:rPr>
          <w:rFonts w:ascii="Arial" w:eastAsia="Cambria" w:hAnsi="Arial" w:cs="Arial"/>
          <w:lang w:val="es-CO" w:eastAsia="es-CO"/>
        </w:rPr>
        <w:t xml:space="preserve"> Disponible en: </w:t>
      </w:r>
      <w:r w:rsidRPr="000E60F2">
        <w:rPr>
          <w:rFonts w:ascii="Arial" w:eastAsia="Cambria" w:hAnsi="Arial" w:cs="Arial"/>
          <w:lang w:val="es-CO" w:eastAsia="es-CO"/>
        </w:rPr>
        <w:t>http://www.dane.gov.co/index.php/cuentas-economicas/cuentas-departamentales</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C52EE7" w:rsidRDefault="003B3201" w:rsidP="003B3201">
      <w:pPr>
        <w:autoSpaceDE w:val="0"/>
        <w:autoSpaceDN w:val="0"/>
        <w:adjustRightInd w:val="0"/>
        <w:spacing w:line="276" w:lineRule="auto"/>
        <w:jc w:val="both"/>
        <w:rPr>
          <w:rFonts w:ascii="Arial" w:eastAsiaTheme="minorHAnsi" w:hAnsi="Arial" w:cs="Arial"/>
          <w:lang w:val="es-CO"/>
        </w:rPr>
      </w:pPr>
      <w:r w:rsidRPr="00C52EE7">
        <w:rPr>
          <w:rFonts w:ascii="Arial" w:eastAsiaTheme="minorHAnsi" w:hAnsi="Arial" w:cs="Arial"/>
          <w:lang w:val="es-CO"/>
        </w:rPr>
        <w:lastRenderedPageBreak/>
        <w:t xml:space="preserve">Departamento Nacional de Planeación - DNP. </w:t>
      </w:r>
      <w:r w:rsidRPr="00C52EE7">
        <w:rPr>
          <w:rFonts w:ascii="Arial" w:eastAsiaTheme="minorHAnsi" w:hAnsi="Arial" w:cs="Arial"/>
          <w:i/>
          <w:lang w:val="es-CO"/>
        </w:rPr>
        <w:t>Ejecuciones presupuestales</w:t>
      </w:r>
      <w:r w:rsidRPr="00C52EE7">
        <w:rPr>
          <w:rFonts w:ascii="Arial" w:eastAsiaTheme="minorHAnsi" w:hAnsi="Arial" w:cs="Arial"/>
          <w:lang w:val="es-CO"/>
        </w:rPr>
        <w:t>.  Disponible en: ttps://www.dnp.gov.co/Programas/DesarrolloTerritorial/FinanzasP%C3%BAblicasTerritoriales/EjecucionesPresupuestales.aspx</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Default="003B3201" w:rsidP="003B3201">
      <w:pPr>
        <w:autoSpaceDE w:val="0"/>
        <w:autoSpaceDN w:val="0"/>
        <w:adjustRightInd w:val="0"/>
        <w:spacing w:line="276" w:lineRule="auto"/>
        <w:jc w:val="both"/>
        <w:rPr>
          <w:rFonts w:ascii="Arial" w:eastAsiaTheme="minorHAnsi" w:hAnsi="Arial" w:cs="Arial"/>
          <w:lang w:val="es-CO"/>
        </w:rPr>
      </w:pPr>
      <w:r w:rsidRPr="00C52EE7">
        <w:rPr>
          <w:rFonts w:ascii="Arial" w:eastAsiaTheme="minorHAnsi" w:hAnsi="Arial" w:cs="Arial"/>
          <w:lang w:val="es-CO"/>
        </w:rPr>
        <w:t>Departamento Naciona</w:t>
      </w:r>
      <w:r>
        <w:rPr>
          <w:rFonts w:ascii="Arial" w:eastAsiaTheme="minorHAnsi" w:hAnsi="Arial" w:cs="Arial"/>
          <w:lang w:val="es-CO"/>
        </w:rPr>
        <w:t xml:space="preserve">l de Planeación – DNP (2012). Línea base de Red Unidos. Disponible en: </w:t>
      </w:r>
      <w:r w:rsidRPr="000E60F2">
        <w:rPr>
          <w:rFonts w:ascii="Arial" w:eastAsiaTheme="minorHAnsi" w:hAnsi="Arial" w:cs="Arial"/>
          <w:lang w:val="es-CO"/>
        </w:rPr>
        <w:t>https://www.dnp.gov.co/Programas/DesarrolloSocial/Pol%C3%ADticasSocialesTransversales/RedUnidosparaSuperaci%C3%B3ndelaPobrezaExtrema.aspx</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030FA" w:rsidRDefault="003B3201" w:rsidP="003B3201">
      <w:pPr>
        <w:autoSpaceDE w:val="0"/>
        <w:autoSpaceDN w:val="0"/>
        <w:adjustRightInd w:val="0"/>
        <w:spacing w:line="276" w:lineRule="auto"/>
        <w:jc w:val="both"/>
        <w:rPr>
          <w:rFonts w:ascii="Arial" w:eastAsiaTheme="minorHAnsi" w:hAnsi="Arial" w:cs="Arial"/>
          <w:lang w:val="es-CO"/>
        </w:rPr>
      </w:pPr>
      <w:r w:rsidRPr="004030FA">
        <w:rPr>
          <w:rFonts w:ascii="Arial" w:eastAsiaTheme="minorHAnsi" w:hAnsi="Arial" w:cs="Arial"/>
          <w:lang w:val="es-CO"/>
        </w:rPr>
        <w:t xml:space="preserve">Dirección de Impuestos y Aduanas Nacionales – DIAN (2013). Cifras y gestión. </w:t>
      </w:r>
      <w:r w:rsidRPr="004030FA">
        <w:rPr>
          <w:rFonts w:ascii="Arial" w:eastAsiaTheme="minorHAnsi" w:hAnsi="Arial" w:cs="Arial"/>
          <w:i/>
          <w:lang w:val="es-CO"/>
        </w:rPr>
        <w:t>Estadísticas de Carga de las Importaciones- Exportaciones en Colombia.</w:t>
      </w:r>
      <w:r w:rsidRPr="004030FA">
        <w:rPr>
          <w:rFonts w:ascii="Arial" w:eastAsiaTheme="minorHAnsi" w:hAnsi="Arial" w:cs="Arial"/>
          <w:lang w:val="es-CO"/>
        </w:rPr>
        <w:t xml:space="preserve"> Disponible en: http://www.dian.gov.co/dian/14cifrasgestion.nsf/f3b4ce6f9a41a48c05257030006f50e2/582808efbfb9a7e80525799000688f2a?OpenDocument.</w:t>
      </w:r>
    </w:p>
    <w:p w:rsidR="003B3201" w:rsidRPr="004030FA" w:rsidRDefault="003B3201" w:rsidP="003B3201">
      <w:pPr>
        <w:autoSpaceDE w:val="0"/>
        <w:autoSpaceDN w:val="0"/>
        <w:adjustRightInd w:val="0"/>
        <w:spacing w:line="276" w:lineRule="auto"/>
        <w:jc w:val="both"/>
        <w:rPr>
          <w:rFonts w:ascii="Arial" w:eastAsiaTheme="minorHAnsi" w:hAnsi="Arial" w:cs="Arial"/>
          <w:lang w:val="es-CO"/>
        </w:rPr>
      </w:pPr>
      <w:r w:rsidRPr="004030FA">
        <w:rPr>
          <w:rFonts w:ascii="Arial" w:eastAsiaTheme="minorHAnsi" w:hAnsi="Arial" w:cs="Arial"/>
          <w:lang w:val="es-CO"/>
        </w:rPr>
        <w:t xml:space="preserve">Fundación Empresarios por la Educación- </w:t>
      </w:r>
      <w:proofErr w:type="spellStart"/>
      <w:r w:rsidRPr="004030FA">
        <w:rPr>
          <w:rFonts w:ascii="Arial" w:eastAsiaTheme="minorHAnsi" w:hAnsi="Arial" w:cs="Arial"/>
          <w:lang w:val="es-CO"/>
        </w:rPr>
        <w:t>ExE</w:t>
      </w:r>
      <w:proofErr w:type="spellEnd"/>
      <w:r w:rsidRPr="004030FA">
        <w:rPr>
          <w:rFonts w:ascii="Arial" w:eastAsiaTheme="minorHAnsi" w:hAnsi="Arial" w:cs="Arial"/>
          <w:lang w:val="es-CO"/>
        </w:rPr>
        <w:t xml:space="preserve"> (2011). </w:t>
      </w:r>
      <w:r w:rsidRPr="004030FA">
        <w:rPr>
          <w:rFonts w:ascii="Arial" w:eastAsiaTheme="minorHAnsi" w:hAnsi="Arial" w:cs="Arial"/>
          <w:i/>
          <w:lang w:val="es-CO"/>
        </w:rPr>
        <w:t>Educación ¿Qué dicen los indicadores</w:t>
      </w:r>
      <w:proofErr w:type="gramStart"/>
      <w:r w:rsidRPr="004030FA">
        <w:rPr>
          <w:rFonts w:ascii="Arial" w:eastAsiaTheme="minorHAnsi" w:hAnsi="Arial" w:cs="Arial"/>
          <w:i/>
          <w:lang w:val="es-CO"/>
        </w:rPr>
        <w:t>?.</w:t>
      </w:r>
      <w:proofErr w:type="gramEnd"/>
      <w:r w:rsidRPr="004030FA">
        <w:rPr>
          <w:rFonts w:ascii="Arial" w:eastAsiaTheme="minorHAnsi" w:hAnsi="Arial" w:cs="Arial"/>
          <w:i/>
          <w:lang w:val="es-CO"/>
        </w:rPr>
        <w:t xml:space="preserve"> </w:t>
      </w:r>
      <w:r w:rsidRPr="004030FA">
        <w:rPr>
          <w:rFonts w:ascii="Arial" w:eastAsiaTheme="minorHAnsi" w:hAnsi="Arial" w:cs="Arial"/>
          <w:lang w:val="es-CO"/>
        </w:rPr>
        <w:t>Disponible en: http://fundacionexe.org.co/wp-content/uploads/2011/10/Bolivar.pdf</w:t>
      </w:r>
    </w:p>
    <w:p w:rsidR="003B3201" w:rsidRDefault="003B3201" w:rsidP="003B3201">
      <w:pPr>
        <w:jc w:val="both"/>
        <w:rPr>
          <w:rFonts w:ascii="Arial" w:eastAsiaTheme="minorHAnsi" w:hAnsi="Arial" w:cs="Arial"/>
          <w:lang w:val="es-CO"/>
        </w:rPr>
      </w:pPr>
    </w:p>
    <w:p w:rsidR="003B3201" w:rsidRPr="009E3B4F" w:rsidRDefault="003B3201" w:rsidP="003B3201">
      <w:pPr>
        <w:jc w:val="both"/>
        <w:rPr>
          <w:rFonts w:ascii="Arial" w:hAnsi="Arial" w:cs="Arial"/>
          <w:lang w:val="es-CO"/>
        </w:rPr>
      </w:pPr>
      <w:r w:rsidRPr="009E3B4F">
        <w:rPr>
          <w:rFonts w:ascii="Arial" w:eastAsiaTheme="minorHAnsi" w:hAnsi="Arial" w:cs="Arial"/>
          <w:lang w:val="es-CO"/>
        </w:rPr>
        <w:t xml:space="preserve">Galvis, L. A. (2012). </w:t>
      </w:r>
      <w:r w:rsidRPr="009E3B4F">
        <w:rPr>
          <w:rFonts w:ascii="Arial" w:eastAsiaTheme="minorHAnsi" w:hAnsi="Arial" w:cs="Arial"/>
          <w:i/>
          <w:iCs/>
          <w:lang w:val="es-CO"/>
        </w:rPr>
        <w:t xml:space="preserve">Informalidad Laboral en las áreas urbanas de Colombia. </w:t>
      </w:r>
      <w:r w:rsidRPr="009E3B4F">
        <w:rPr>
          <w:rFonts w:ascii="Arial" w:eastAsiaTheme="minorHAnsi" w:hAnsi="Arial" w:cs="Arial"/>
          <w:lang w:val="es-CO"/>
        </w:rPr>
        <w:t>Banco de la República. Documento de Trabajo sobre Economía Regional. Centro de Estudios Económicos Regionales (CEER) Cartagena. Disponible en: http://www.banrep.gov.co/sites/default/files/publicaciones/archivos/DTSER-164.pdf</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2587D" w:rsidRDefault="003B3201" w:rsidP="003B3201">
      <w:pPr>
        <w:autoSpaceDE w:val="0"/>
        <w:autoSpaceDN w:val="0"/>
        <w:adjustRightInd w:val="0"/>
        <w:spacing w:line="276" w:lineRule="auto"/>
        <w:jc w:val="both"/>
        <w:rPr>
          <w:rFonts w:ascii="Arial" w:eastAsiaTheme="minorHAnsi" w:hAnsi="Arial" w:cs="Arial"/>
          <w:lang w:val="es-CO"/>
        </w:rPr>
      </w:pPr>
      <w:r w:rsidRPr="0042587D">
        <w:rPr>
          <w:rFonts w:ascii="Arial" w:eastAsiaTheme="minorHAnsi" w:hAnsi="Arial" w:cs="Arial"/>
          <w:lang w:val="es-CO"/>
        </w:rPr>
        <w:t xml:space="preserve">Global </w:t>
      </w:r>
      <w:proofErr w:type="spellStart"/>
      <w:r w:rsidRPr="0042587D">
        <w:rPr>
          <w:rFonts w:ascii="Arial" w:eastAsiaTheme="minorHAnsi" w:hAnsi="Arial" w:cs="Arial"/>
          <w:lang w:val="es-CO"/>
        </w:rPr>
        <w:t>Entrepreneurship</w:t>
      </w:r>
      <w:proofErr w:type="spellEnd"/>
      <w:r w:rsidRPr="0042587D">
        <w:rPr>
          <w:rFonts w:ascii="Arial" w:eastAsiaTheme="minorHAnsi" w:hAnsi="Arial" w:cs="Arial"/>
          <w:lang w:val="es-CO"/>
        </w:rPr>
        <w:t xml:space="preserve"> Monitor en Colombia- GEM (2010). </w:t>
      </w:r>
      <w:r w:rsidRPr="0042587D">
        <w:rPr>
          <w:rFonts w:ascii="Arial" w:eastAsiaTheme="minorHAnsi" w:hAnsi="Arial" w:cs="Arial"/>
          <w:i/>
          <w:lang w:val="es-CO"/>
        </w:rPr>
        <w:t>Región Caribe 2010</w:t>
      </w:r>
      <w:r w:rsidRPr="0042587D">
        <w:rPr>
          <w:rFonts w:ascii="Arial" w:eastAsiaTheme="minorHAnsi" w:hAnsi="Arial" w:cs="Arial"/>
          <w:lang w:val="es-CO"/>
        </w:rPr>
        <w:t>. Disponible en: http://www.gemcolombia.org/images/GEM%20Region%20Caribe%202010.pdf</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C52EE7" w:rsidRDefault="003B3201" w:rsidP="003B3201">
      <w:pPr>
        <w:autoSpaceDE w:val="0"/>
        <w:autoSpaceDN w:val="0"/>
        <w:adjustRightInd w:val="0"/>
        <w:spacing w:line="276" w:lineRule="auto"/>
        <w:jc w:val="both"/>
        <w:rPr>
          <w:rFonts w:ascii="Arial" w:eastAsiaTheme="minorHAnsi" w:hAnsi="Arial" w:cs="Arial"/>
          <w:lang w:val="es-CO"/>
        </w:rPr>
      </w:pPr>
      <w:r w:rsidRPr="00C52EE7">
        <w:rPr>
          <w:rFonts w:ascii="Arial" w:eastAsiaTheme="minorHAnsi" w:hAnsi="Arial" w:cs="Arial"/>
          <w:lang w:val="es-CO"/>
        </w:rPr>
        <w:t xml:space="preserve">Gobernación de Bolívar (2008). </w:t>
      </w:r>
      <w:r w:rsidRPr="00C52EE7">
        <w:rPr>
          <w:rFonts w:ascii="Arial" w:eastAsiaTheme="minorHAnsi" w:hAnsi="Arial" w:cs="Arial"/>
          <w:i/>
          <w:lang w:val="es-CO"/>
        </w:rPr>
        <w:t>Plan Regional de Competitividad Cartagena Bolívar, 2008-2032.</w:t>
      </w:r>
      <w:r w:rsidRPr="00C52EE7">
        <w:rPr>
          <w:rFonts w:ascii="Arial" w:eastAsiaTheme="minorHAnsi" w:hAnsi="Arial" w:cs="Arial"/>
          <w:lang w:val="es-CO"/>
        </w:rPr>
        <w:t xml:space="preserve"> Disponible en: http://www.cartagena.gov.co/SecHacienda/Documentos/competitividad-cartagena-2008-2032.pdf</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2587D" w:rsidRDefault="003B3201" w:rsidP="003B3201">
      <w:pPr>
        <w:autoSpaceDE w:val="0"/>
        <w:autoSpaceDN w:val="0"/>
        <w:adjustRightInd w:val="0"/>
        <w:spacing w:line="276" w:lineRule="auto"/>
        <w:jc w:val="both"/>
        <w:rPr>
          <w:rFonts w:ascii="Arial" w:eastAsiaTheme="minorHAnsi" w:hAnsi="Arial" w:cs="Arial"/>
          <w:lang w:val="es-CO"/>
        </w:rPr>
      </w:pPr>
      <w:r w:rsidRPr="0042587D">
        <w:rPr>
          <w:rFonts w:ascii="Arial" w:eastAsiaTheme="minorHAnsi" w:hAnsi="Arial" w:cs="Arial"/>
          <w:lang w:val="es-CO"/>
        </w:rPr>
        <w:t>Gobernación de Bolívar (2012). Plan de Desarrollo Departamental.  B</w:t>
      </w:r>
      <w:r w:rsidRPr="0042587D">
        <w:rPr>
          <w:rFonts w:ascii="Arial" w:eastAsiaTheme="minorHAnsi" w:hAnsi="Arial" w:cs="Arial"/>
          <w:i/>
          <w:lang w:val="es-CO"/>
        </w:rPr>
        <w:t>olívar Ganador, 2012 – 2015.</w:t>
      </w:r>
      <w:r w:rsidRPr="0042587D">
        <w:rPr>
          <w:rFonts w:ascii="Arial" w:eastAsiaTheme="minorHAnsi" w:hAnsi="Arial" w:cs="Arial"/>
          <w:lang w:val="es-CO"/>
        </w:rPr>
        <w:t xml:space="preserve"> Disponible en: http://www.bolivar.gov.co/index.php?option=com_rokdownloads&amp;view=folder&amp;Itemid=316</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C6675" w:rsidRDefault="003B3201" w:rsidP="003B3201">
      <w:pPr>
        <w:autoSpaceDE w:val="0"/>
        <w:autoSpaceDN w:val="0"/>
        <w:adjustRightInd w:val="0"/>
        <w:spacing w:line="276" w:lineRule="auto"/>
        <w:jc w:val="both"/>
        <w:rPr>
          <w:rFonts w:ascii="Arial" w:eastAsiaTheme="minorHAnsi" w:hAnsi="Arial" w:cs="Arial"/>
          <w:lang w:val="es-CO"/>
        </w:rPr>
      </w:pPr>
      <w:r w:rsidRPr="004C6675">
        <w:rPr>
          <w:rFonts w:ascii="Arial" w:eastAsiaTheme="minorHAnsi" w:hAnsi="Arial" w:cs="Arial"/>
          <w:lang w:val="es-CO"/>
        </w:rPr>
        <w:t xml:space="preserve">Ministerio de Comercio, Industria y Turismo - MinCIT. </w:t>
      </w:r>
      <w:r w:rsidRPr="004C6675">
        <w:rPr>
          <w:rFonts w:ascii="Arial" w:eastAsiaTheme="minorHAnsi" w:hAnsi="Arial" w:cs="Arial"/>
          <w:i/>
          <w:lang w:val="es-CO"/>
        </w:rPr>
        <w:t>Perfiles Económicos por Departamentos.</w:t>
      </w:r>
      <w:r w:rsidRPr="004C6675">
        <w:rPr>
          <w:rFonts w:ascii="Arial" w:eastAsiaTheme="minorHAnsi" w:hAnsi="Arial" w:cs="Arial"/>
          <w:lang w:val="es-CO"/>
        </w:rPr>
        <w:t xml:space="preserve"> Disponible en: http://www.mincit.gov.co/publicaciones.php?id=16724</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030FA" w:rsidRDefault="003B3201" w:rsidP="003B3201">
      <w:pPr>
        <w:autoSpaceDE w:val="0"/>
        <w:autoSpaceDN w:val="0"/>
        <w:adjustRightInd w:val="0"/>
        <w:spacing w:line="276" w:lineRule="auto"/>
        <w:jc w:val="both"/>
        <w:rPr>
          <w:rFonts w:ascii="Arial" w:eastAsiaTheme="minorHAnsi" w:hAnsi="Arial" w:cs="Arial"/>
          <w:lang w:val="es-CO"/>
        </w:rPr>
      </w:pPr>
      <w:r w:rsidRPr="004030FA">
        <w:rPr>
          <w:rFonts w:ascii="Arial" w:eastAsiaTheme="minorHAnsi" w:hAnsi="Arial" w:cs="Arial"/>
          <w:lang w:val="es-CO"/>
        </w:rPr>
        <w:t>Ministerio de Educación Nacional (2013). Síntesis de educación superior Bolívar. Disponible en: http://www.mineducacion.gov.co/sistemasdeinformacion/1735/articles-212352_bolivar.pdf</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5D161B" w:rsidRDefault="003B3201" w:rsidP="003B3201">
      <w:pPr>
        <w:autoSpaceDE w:val="0"/>
        <w:autoSpaceDN w:val="0"/>
        <w:adjustRightInd w:val="0"/>
        <w:spacing w:line="276" w:lineRule="auto"/>
        <w:jc w:val="both"/>
        <w:rPr>
          <w:rFonts w:ascii="Arial" w:eastAsiaTheme="minorHAnsi" w:hAnsi="Arial" w:cs="Arial"/>
          <w:lang w:val="es-CO"/>
        </w:rPr>
      </w:pPr>
      <w:r w:rsidRPr="005D161B">
        <w:rPr>
          <w:rFonts w:ascii="Arial" w:eastAsiaTheme="minorHAnsi" w:hAnsi="Arial" w:cs="Arial"/>
          <w:lang w:val="es-CO"/>
        </w:rPr>
        <w:t xml:space="preserve">Ministerio de Educación. </w:t>
      </w:r>
      <w:r w:rsidRPr="005D161B">
        <w:rPr>
          <w:rFonts w:ascii="Arial" w:eastAsiaTheme="minorHAnsi" w:hAnsi="Arial" w:cs="Arial"/>
          <w:i/>
          <w:lang w:val="es-CO"/>
        </w:rPr>
        <w:t>Sistema Nacional de la Educación Superior - SNIES.</w:t>
      </w:r>
      <w:r w:rsidRPr="005D161B">
        <w:rPr>
          <w:rFonts w:ascii="Arial" w:eastAsiaTheme="minorHAnsi" w:hAnsi="Arial" w:cs="Arial"/>
          <w:lang w:val="es-CO"/>
        </w:rPr>
        <w:t xml:space="preserve"> Disponible en: http://www.mineducacion.gov.co/sistemasdeinformacion/1735/w3-propertyname-2672.html</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C52EE7" w:rsidRDefault="003B3201" w:rsidP="003B3201">
      <w:pPr>
        <w:autoSpaceDE w:val="0"/>
        <w:autoSpaceDN w:val="0"/>
        <w:adjustRightInd w:val="0"/>
        <w:spacing w:line="276" w:lineRule="auto"/>
        <w:jc w:val="both"/>
        <w:rPr>
          <w:rFonts w:ascii="Arial" w:eastAsiaTheme="minorHAnsi" w:hAnsi="Arial" w:cs="Arial"/>
          <w:i/>
          <w:lang w:val="es-CO"/>
        </w:rPr>
      </w:pPr>
      <w:r w:rsidRPr="00C52EE7">
        <w:rPr>
          <w:rFonts w:ascii="Arial" w:eastAsiaTheme="minorHAnsi" w:hAnsi="Arial" w:cs="Arial"/>
          <w:lang w:val="es-CO"/>
        </w:rPr>
        <w:t xml:space="preserve">Ministerio de Salud y Protección Social y Programa Mundial de Alimentos de Naciones Unidas </w:t>
      </w:r>
      <w:proofErr w:type="gramStart"/>
      <w:r w:rsidRPr="00C52EE7">
        <w:rPr>
          <w:rFonts w:ascii="Arial" w:eastAsiaTheme="minorHAnsi" w:hAnsi="Arial" w:cs="Arial"/>
          <w:lang w:val="es-CO"/>
        </w:rPr>
        <w:t>( 2010</w:t>
      </w:r>
      <w:proofErr w:type="gramEnd"/>
      <w:r w:rsidRPr="00C52EE7">
        <w:rPr>
          <w:rFonts w:ascii="Arial" w:eastAsiaTheme="minorHAnsi" w:hAnsi="Arial" w:cs="Arial"/>
          <w:lang w:val="es-CO"/>
        </w:rPr>
        <w:t xml:space="preserve">). </w:t>
      </w:r>
      <w:r w:rsidRPr="00C52EE7">
        <w:rPr>
          <w:rFonts w:ascii="Arial" w:eastAsiaTheme="minorHAnsi" w:hAnsi="Arial" w:cs="Arial"/>
          <w:i/>
          <w:lang w:val="es-CO"/>
        </w:rPr>
        <w:t xml:space="preserve">Convenio de Cooperación Técnica y Financiera 480 de 2010. </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5D161B" w:rsidRDefault="003B3201" w:rsidP="003B3201">
      <w:pPr>
        <w:autoSpaceDE w:val="0"/>
        <w:autoSpaceDN w:val="0"/>
        <w:adjustRightInd w:val="0"/>
        <w:spacing w:line="276" w:lineRule="auto"/>
        <w:jc w:val="both"/>
        <w:rPr>
          <w:rFonts w:ascii="Arial" w:eastAsiaTheme="minorHAnsi" w:hAnsi="Arial" w:cs="Arial"/>
          <w:lang w:val="es-CO"/>
        </w:rPr>
      </w:pPr>
      <w:r w:rsidRPr="005D161B">
        <w:rPr>
          <w:rFonts w:ascii="Arial" w:eastAsiaTheme="minorHAnsi" w:hAnsi="Arial" w:cs="Arial"/>
          <w:lang w:val="es-CO"/>
        </w:rPr>
        <w:t xml:space="preserve">Ministerio de Transporte - </w:t>
      </w:r>
      <w:proofErr w:type="spellStart"/>
      <w:r w:rsidRPr="005D161B">
        <w:rPr>
          <w:rFonts w:ascii="Arial" w:eastAsiaTheme="minorHAnsi" w:hAnsi="Arial" w:cs="Arial"/>
          <w:lang w:val="es-CO"/>
        </w:rPr>
        <w:t>MinTransporte</w:t>
      </w:r>
      <w:proofErr w:type="spellEnd"/>
      <w:r w:rsidRPr="005D161B">
        <w:rPr>
          <w:rFonts w:ascii="Arial" w:eastAsiaTheme="minorHAnsi" w:hAnsi="Arial" w:cs="Arial"/>
          <w:lang w:val="es-CO"/>
        </w:rPr>
        <w:t>.</w:t>
      </w:r>
      <w:r w:rsidRPr="005D161B">
        <w:rPr>
          <w:rFonts w:ascii="Arial" w:eastAsiaTheme="minorHAnsi" w:hAnsi="Arial" w:cs="Arial"/>
          <w:i/>
          <w:lang w:val="es-CO"/>
        </w:rPr>
        <w:t xml:space="preserve"> Programa plan vial regional.</w:t>
      </w:r>
      <w:r w:rsidRPr="005D161B">
        <w:rPr>
          <w:rFonts w:ascii="Arial" w:eastAsiaTheme="minorHAnsi" w:hAnsi="Arial" w:cs="Arial"/>
          <w:lang w:val="es-CO"/>
        </w:rPr>
        <w:t xml:space="preserve"> Disponible en: http://web.mintransporte.gov.co/pvr/</w:t>
      </w:r>
    </w:p>
    <w:p w:rsidR="003B3201" w:rsidRDefault="003B3201" w:rsidP="003B3201">
      <w:pPr>
        <w:spacing w:line="276" w:lineRule="auto"/>
        <w:jc w:val="both"/>
        <w:rPr>
          <w:rFonts w:ascii="Arial" w:eastAsia="Cambria" w:hAnsi="Arial" w:cs="Arial"/>
        </w:rPr>
      </w:pPr>
    </w:p>
    <w:p w:rsidR="003B3201" w:rsidRPr="001A366A" w:rsidRDefault="003B3201" w:rsidP="003B3201">
      <w:pPr>
        <w:spacing w:line="276" w:lineRule="auto"/>
        <w:jc w:val="both"/>
        <w:rPr>
          <w:rFonts w:ascii="Arial" w:eastAsia="Cambria" w:hAnsi="Arial" w:cs="Arial"/>
          <w:i/>
        </w:rPr>
      </w:pPr>
      <w:r w:rsidRPr="001A366A">
        <w:rPr>
          <w:rFonts w:ascii="Arial" w:eastAsia="Cambria" w:hAnsi="Arial" w:cs="Arial"/>
        </w:rPr>
        <w:t>Ministerio de</w:t>
      </w:r>
      <w:r>
        <w:rPr>
          <w:rFonts w:ascii="Arial" w:eastAsia="Cambria" w:hAnsi="Arial" w:cs="Arial"/>
        </w:rPr>
        <w:t>l</w:t>
      </w:r>
      <w:r w:rsidRPr="001A366A">
        <w:rPr>
          <w:rFonts w:ascii="Arial" w:eastAsia="Cambria" w:hAnsi="Arial" w:cs="Arial"/>
        </w:rPr>
        <w:t xml:space="preserve"> Trabajo (2010). Plan Nacional de desarrollo 2010-2014. </w:t>
      </w:r>
      <w:r w:rsidRPr="001A366A">
        <w:rPr>
          <w:rFonts w:ascii="Arial" w:eastAsia="Cambria" w:hAnsi="Arial" w:cs="Arial"/>
          <w:i/>
        </w:rPr>
        <w:t>Prosperidad para todos</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Default="003B3201" w:rsidP="003B3201">
      <w:pPr>
        <w:autoSpaceDE w:val="0"/>
        <w:autoSpaceDN w:val="0"/>
        <w:adjustRightInd w:val="0"/>
        <w:spacing w:line="276" w:lineRule="auto"/>
        <w:jc w:val="both"/>
        <w:rPr>
          <w:rFonts w:ascii="Arial" w:eastAsiaTheme="minorHAnsi" w:hAnsi="Arial" w:cs="Arial"/>
          <w:lang w:val="es-CO"/>
        </w:rPr>
      </w:pPr>
      <w:r>
        <w:rPr>
          <w:rFonts w:ascii="Arial" w:eastAsiaTheme="minorHAnsi" w:hAnsi="Arial" w:cs="Arial"/>
          <w:lang w:val="es-CO"/>
        </w:rPr>
        <w:t xml:space="preserve">Ministerio del Trabajo (2013). Taller de oferta institucional. </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Default="003B3201" w:rsidP="003B3201">
      <w:pPr>
        <w:autoSpaceDE w:val="0"/>
        <w:autoSpaceDN w:val="0"/>
        <w:adjustRightInd w:val="0"/>
        <w:spacing w:line="276" w:lineRule="auto"/>
        <w:jc w:val="both"/>
        <w:rPr>
          <w:rFonts w:ascii="Arial" w:hAnsi="Arial" w:cs="Arial"/>
          <w:lang w:val="es-CO"/>
        </w:rPr>
      </w:pPr>
      <w:r>
        <w:rPr>
          <w:rFonts w:ascii="Arial" w:hAnsi="Arial" w:cs="Arial"/>
          <w:lang w:val="es-CO"/>
        </w:rPr>
        <w:t xml:space="preserve">Ministerio del Trabajo (2013). Sistema de Información Integrado para la Identificación, Registro y Caracterización del Trabajo Infantil y sus Peores Formas – SIRITI. </w:t>
      </w:r>
      <w:r>
        <w:rPr>
          <w:rFonts w:ascii="Arial" w:hAnsi="Arial" w:cs="Arial"/>
          <w:i/>
          <w:lang w:val="es-CO"/>
        </w:rPr>
        <w:t>El Trabajo Infantil en Colombia</w:t>
      </w:r>
      <w:r>
        <w:rPr>
          <w:rFonts w:ascii="Arial" w:hAnsi="Arial" w:cs="Arial"/>
          <w:lang w:val="es-CO"/>
        </w:rPr>
        <w:t>. Disponible en: ttp://apps.mintrabajo. gov.co/</w:t>
      </w:r>
      <w:proofErr w:type="spellStart"/>
      <w:r>
        <w:rPr>
          <w:rFonts w:ascii="Arial" w:hAnsi="Arial" w:cs="Arial"/>
          <w:lang w:val="es-CO"/>
        </w:rPr>
        <w:t>siriti</w:t>
      </w:r>
      <w:proofErr w:type="spellEnd"/>
      <w:r>
        <w:rPr>
          <w:rFonts w:ascii="Arial" w:hAnsi="Arial" w:cs="Arial"/>
          <w:lang w:val="es-CO"/>
        </w:rPr>
        <w:t>/</w:t>
      </w:r>
      <w:proofErr w:type="spellStart"/>
      <w:r>
        <w:rPr>
          <w:rFonts w:ascii="Arial" w:hAnsi="Arial" w:cs="Arial"/>
          <w:lang w:val="es-CO"/>
        </w:rPr>
        <w:t>template.aspx?seccion</w:t>
      </w:r>
      <w:proofErr w:type="spellEnd"/>
      <w:r>
        <w:rPr>
          <w:rFonts w:ascii="Arial" w:hAnsi="Arial" w:cs="Arial"/>
          <w:lang w:val="es-CO"/>
        </w:rPr>
        <w:t>=11</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2587D" w:rsidRDefault="003B3201" w:rsidP="003B3201">
      <w:pPr>
        <w:autoSpaceDE w:val="0"/>
        <w:autoSpaceDN w:val="0"/>
        <w:adjustRightInd w:val="0"/>
        <w:spacing w:line="276" w:lineRule="auto"/>
        <w:jc w:val="both"/>
        <w:rPr>
          <w:rFonts w:ascii="Arial" w:eastAsiaTheme="minorHAnsi" w:hAnsi="Arial" w:cs="Arial"/>
          <w:lang w:val="es-CO"/>
        </w:rPr>
      </w:pPr>
      <w:r w:rsidRPr="0042587D">
        <w:rPr>
          <w:rFonts w:ascii="Arial" w:eastAsiaTheme="minorHAnsi" w:hAnsi="Arial" w:cs="Arial"/>
          <w:lang w:val="es-CO"/>
        </w:rPr>
        <w:t>Observatorio de la Educación de Cartagena.</w:t>
      </w:r>
      <w:r w:rsidRPr="0042587D">
        <w:rPr>
          <w:rFonts w:ascii="Arial" w:eastAsiaTheme="minorHAnsi" w:hAnsi="Arial" w:cs="Arial"/>
          <w:i/>
          <w:lang w:val="es-CO"/>
        </w:rPr>
        <w:t xml:space="preserve"> Indicadores.</w:t>
      </w:r>
      <w:r w:rsidRPr="0042587D">
        <w:rPr>
          <w:rFonts w:ascii="Arial" w:eastAsiaTheme="minorHAnsi" w:hAnsi="Arial" w:cs="Arial"/>
          <w:lang w:val="es-CO"/>
        </w:rPr>
        <w:t xml:space="preserve"> Disponible en: http://www.oecartagena.org/node/4 </w:t>
      </w:r>
    </w:p>
    <w:p w:rsidR="003B3201" w:rsidRDefault="003B3201" w:rsidP="003B3201">
      <w:pPr>
        <w:autoSpaceDE w:val="0"/>
        <w:autoSpaceDN w:val="0"/>
        <w:adjustRightInd w:val="0"/>
        <w:spacing w:line="276" w:lineRule="auto"/>
        <w:jc w:val="both"/>
        <w:rPr>
          <w:rFonts w:ascii="Arial" w:eastAsiaTheme="minorHAnsi" w:hAnsi="Arial" w:cs="Arial"/>
          <w:lang w:val="es-CO"/>
        </w:rPr>
      </w:pPr>
    </w:p>
    <w:p w:rsidR="003B3201" w:rsidRPr="0042587D" w:rsidRDefault="003B3201" w:rsidP="003B3201">
      <w:pPr>
        <w:autoSpaceDE w:val="0"/>
        <w:autoSpaceDN w:val="0"/>
        <w:adjustRightInd w:val="0"/>
        <w:spacing w:line="276" w:lineRule="auto"/>
        <w:jc w:val="both"/>
        <w:rPr>
          <w:rFonts w:ascii="Arial" w:eastAsiaTheme="minorHAnsi" w:hAnsi="Arial" w:cs="Arial"/>
          <w:lang w:val="es-CO"/>
        </w:rPr>
      </w:pPr>
      <w:r w:rsidRPr="0042587D">
        <w:rPr>
          <w:rFonts w:ascii="Arial" w:eastAsiaTheme="minorHAnsi" w:hAnsi="Arial" w:cs="Arial"/>
          <w:lang w:val="es-CO"/>
        </w:rPr>
        <w:t xml:space="preserve">Orozco, J (2011). </w:t>
      </w:r>
      <w:r w:rsidRPr="0042587D">
        <w:rPr>
          <w:rFonts w:ascii="Arial" w:eastAsiaTheme="minorHAnsi" w:hAnsi="Arial" w:cs="Arial"/>
          <w:i/>
          <w:lang w:val="es-CO"/>
        </w:rPr>
        <w:t>Estudio de viabilidad técnica y financiera, Análisis sobre la conveniencia de liquidar la ESE Hospital Regional de Bolívar.</w:t>
      </w:r>
      <w:r w:rsidRPr="0042587D">
        <w:rPr>
          <w:rFonts w:ascii="Arial" w:eastAsiaTheme="minorHAnsi" w:hAnsi="Arial" w:cs="Arial"/>
          <w:lang w:val="es-CO"/>
        </w:rPr>
        <w:t xml:space="preserve"> Cartagena, Bolívar.</w:t>
      </w:r>
    </w:p>
    <w:p w:rsidR="003B3201" w:rsidRDefault="003B3201" w:rsidP="003B3201">
      <w:pPr>
        <w:jc w:val="both"/>
        <w:rPr>
          <w:rFonts w:ascii="Arial" w:hAnsi="Arial" w:cs="Arial"/>
          <w:lang w:val="es-CO"/>
        </w:rPr>
      </w:pPr>
    </w:p>
    <w:p w:rsidR="003B3201" w:rsidRPr="009E3B4F" w:rsidRDefault="003B3201" w:rsidP="003B3201">
      <w:pPr>
        <w:jc w:val="both"/>
        <w:rPr>
          <w:rFonts w:ascii="Arial" w:hAnsi="Arial" w:cs="Arial"/>
          <w:lang w:val="es-CO"/>
        </w:rPr>
      </w:pPr>
      <w:r w:rsidRPr="009E3B4F">
        <w:rPr>
          <w:rFonts w:ascii="Arial" w:hAnsi="Arial" w:cs="Arial"/>
          <w:lang w:val="es-CO"/>
        </w:rPr>
        <w:t>Red de observatorio regional de mercado de trabajo- ORMET (2012).</w:t>
      </w:r>
      <w:r w:rsidRPr="009E3B4F">
        <w:rPr>
          <w:rFonts w:ascii="Arial" w:hAnsi="Arial" w:cs="Arial"/>
          <w:i/>
          <w:lang w:val="es-CO"/>
        </w:rPr>
        <w:t xml:space="preserve"> Diagnostico socioeconómico y del mercado de trabajo. Cartagena de Indias. </w:t>
      </w:r>
      <w:r w:rsidRPr="009E3B4F">
        <w:rPr>
          <w:rFonts w:ascii="Arial" w:hAnsi="Arial" w:cs="Arial"/>
          <w:lang w:val="es-CO"/>
        </w:rPr>
        <w:t>Disponible en:</w:t>
      </w:r>
      <w:r w:rsidRPr="009E3B4F">
        <w:rPr>
          <w:rFonts w:ascii="Arial" w:hAnsi="Arial" w:cs="Arial"/>
        </w:rPr>
        <w:t xml:space="preserve"> </w:t>
      </w:r>
      <w:r w:rsidRPr="009E3B4F">
        <w:rPr>
          <w:rFonts w:ascii="Arial" w:hAnsi="Arial" w:cs="Arial"/>
          <w:lang w:val="es-CO"/>
        </w:rPr>
        <w:t>http://www.mintrabajo.gov.co/empleo/observatorios-regionales/publicaciones.html</w:t>
      </w:r>
    </w:p>
    <w:p w:rsidR="003B3201" w:rsidRPr="00E778E4" w:rsidRDefault="003B3201" w:rsidP="003B3201">
      <w:pPr>
        <w:autoSpaceDE w:val="0"/>
        <w:autoSpaceDN w:val="0"/>
        <w:adjustRightInd w:val="0"/>
        <w:spacing w:line="276" w:lineRule="auto"/>
        <w:jc w:val="both"/>
        <w:rPr>
          <w:rFonts w:ascii="Arial" w:hAnsi="Arial" w:cs="Arial"/>
          <w:shd w:val="clear" w:color="auto" w:fill="FFFFFF"/>
          <w:lang w:val="es-CO"/>
        </w:rPr>
      </w:pPr>
    </w:p>
    <w:p w:rsidR="003B3201" w:rsidRPr="005D161B" w:rsidRDefault="003B3201" w:rsidP="003B3201">
      <w:pPr>
        <w:autoSpaceDE w:val="0"/>
        <w:autoSpaceDN w:val="0"/>
        <w:adjustRightInd w:val="0"/>
        <w:spacing w:line="276" w:lineRule="auto"/>
        <w:jc w:val="both"/>
        <w:rPr>
          <w:rFonts w:ascii="Arial" w:eastAsiaTheme="minorHAnsi" w:hAnsi="Arial" w:cs="Arial"/>
          <w:lang w:val="es-CO"/>
        </w:rPr>
      </w:pPr>
      <w:proofErr w:type="gramStart"/>
      <w:r w:rsidRPr="005D161B">
        <w:rPr>
          <w:rFonts w:ascii="Arial" w:hAnsi="Arial" w:cs="Arial"/>
          <w:shd w:val="clear" w:color="auto" w:fill="FFFFFF"/>
          <w:lang w:val="en-US"/>
        </w:rPr>
        <w:t xml:space="preserve">United Nations Children's Fund- </w:t>
      </w:r>
      <w:r w:rsidRPr="005D161B">
        <w:rPr>
          <w:rFonts w:ascii="Arial" w:eastAsiaTheme="minorHAnsi" w:hAnsi="Arial" w:cs="Arial"/>
          <w:lang w:val="en-US"/>
        </w:rPr>
        <w:t>UNICEF.</w:t>
      </w:r>
      <w:proofErr w:type="gramEnd"/>
      <w:r w:rsidRPr="005D161B">
        <w:rPr>
          <w:rFonts w:ascii="Arial" w:eastAsiaTheme="minorHAnsi" w:hAnsi="Arial" w:cs="Arial"/>
          <w:lang w:val="en-US"/>
        </w:rPr>
        <w:t xml:space="preserve"> </w:t>
      </w:r>
      <w:r w:rsidRPr="005D161B">
        <w:rPr>
          <w:rFonts w:ascii="Arial" w:eastAsiaTheme="minorHAnsi" w:hAnsi="Arial" w:cs="Arial"/>
          <w:i/>
          <w:lang w:val="es-CO"/>
        </w:rPr>
        <w:t>Sistema de Información de Niñez y Adolescencia - SINFONIA</w:t>
      </w:r>
      <w:r w:rsidRPr="005D161B">
        <w:rPr>
          <w:rFonts w:ascii="Arial" w:eastAsiaTheme="minorHAnsi" w:hAnsi="Arial" w:cs="Arial"/>
          <w:lang w:val="es-CO"/>
        </w:rPr>
        <w:t>. Estadísticas. Disponible en internet: http://www.sinfoniaunicef.info/</w:t>
      </w:r>
    </w:p>
    <w:p w:rsidR="003B3201" w:rsidRDefault="003B3201" w:rsidP="003B3201">
      <w:pPr>
        <w:jc w:val="both"/>
      </w:pPr>
    </w:p>
    <w:p w:rsidR="00C540D4" w:rsidRDefault="00C540D4">
      <w:pPr>
        <w:spacing w:after="200" w:line="276" w:lineRule="auto"/>
        <w:rPr>
          <w:rFonts w:ascii="Arial" w:hAnsi="Arial" w:cs="Arial"/>
        </w:rPr>
      </w:pPr>
      <w:r>
        <w:rPr>
          <w:rFonts w:ascii="Arial" w:hAnsi="Arial" w:cs="Arial"/>
        </w:rPr>
        <w:br w:type="page"/>
      </w:r>
    </w:p>
    <w:p w:rsidR="00E778E4" w:rsidRDefault="00E778E4" w:rsidP="00E778E4">
      <w:pPr>
        <w:autoSpaceDE w:val="0"/>
        <w:autoSpaceDN w:val="0"/>
        <w:adjustRightInd w:val="0"/>
        <w:spacing w:line="276" w:lineRule="auto"/>
        <w:jc w:val="both"/>
        <w:rPr>
          <w:rFonts w:ascii="Arial" w:hAnsi="Arial" w:cs="Arial"/>
        </w:rPr>
      </w:pPr>
    </w:p>
    <w:p w:rsidR="00E778E4" w:rsidRPr="000E62F2" w:rsidRDefault="00C540D4" w:rsidP="000E62F2">
      <w:pPr>
        <w:pStyle w:val="Ttulo1"/>
        <w:jc w:val="center"/>
        <w:rPr>
          <w:rFonts w:ascii="Arial" w:hAnsi="Arial" w:cs="Arial"/>
          <w:color w:val="C00000"/>
          <w:sz w:val="24"/>
          <w:szCs w:val="24"/>
        </w:rPr>
      </w:pPr>
      <w:bookmarkStart w:id="233" w:name="_Toc385001389"/>
      <w:bookmarkStart w:id="234" w:name="_Toc385418258"/>
      <w:bookmarkStart w:id="235" w:name="_Toc389666656"/>
      <w:r w:rsidRPr="000E62F2">
        <w:rPr>
          <w:rFonts w:ascii="Arial" w:hAnsi="Arial" w:cs="Arial"/>
          <w:color w:val="C00000"/>
          <w:sz w:val="24"/>
          <w:szCs w:val="24"/>
        </w:rPr>
        <w:t>12</w:t>
      </w:r>
      <w:r w:rsidR="00105D27">
        <w:rPr>
          <w:rFonts w:ascii="Arial" w:hAnsi="Arial" w:cs="Arial"/>
          <w:color w:val="C00000"/>
          <w:sz w:val="24"/>
          <w:szCs w:val="24"/>
        </w:rPr>
        <w:t>.</w:t>
      </w:r>
      <w:r w:rsidRPr="000E62F2">
        <w:rPr>
          <w:rFonts w:ascii="Arial" w:hAnsi="Arial" w:cs="Arial"/>
          <w:color w:val="C00000"/>
          <w:sz w:val="24"/>
          <w:szCs w:val="24"/>
        </w:rPr>
        <w:t xml:space="preserve"> </w:t>
      </w:r>
      <w:r w:rsidR="00E778E4" w:rsidRPr="000E62F2">
        <w:rPr>
          <w:rFonts w:ascii="Arial" w:hAnsi="Arial" w:cs="Arial"/>
          <w:color w:val="C00000"/>
          <w:sz w:val="24"/>
          <w:szCs w:val="24"/>
        </w:rPr>
        <w:t>Anexos</w:t>
      </w:r>
      <w:bookmarkEnd w:id="233"/>
      <w:bookmarkEnd w:id="234"/>
      <w:bookmarkEnd w:id="235"/>
    </w:p>
    <w:p w:rsidR="00E778E4" w:rsidRDefault="00E778E4" w:rsidP="00E778E4"/>
    <w:p w:rsidR="00E778E4" w:rsidRDefault="00E778E4" w:rsidP="00E778E4"/>
    <w:p w:rsidR="00E778E4" w:rsidRPr="000E62F2" w:rsidRDefault="00E778E4" w:rsidP="001F348B">
      <w:pPr>
        <w:pStyle w:val="Ttulo2"/>
        <w:rPr>
          <w:rFonts w:ascii="Arial" w:hAnsi="Arial" w:cs="Arial"/>
          <w:color w:val="auto"/>
          <w:sz w:val="22"/>
          <w:szCs w:val="22"/>
        </w:rPr>
      </w:pPr>
      <w:bookmarkStart w:id="236" w:name="_Toc385418259"/>
      <w:bookmarkStart w:id="237" w:name="_Toc389666657"/>
      <w:r w:rsidRPr="000E62F2">
        <w:rPr>
          <w:rFonts w:ascii="Arial" w:hAnsi="Arial" w:cs="Arial"/>
          <w:color w:val="auto"/>
          <w:sz w:val="22"/>
          <w:szCs w:val="22"/>
        </w:rPr>
        <w:t xml:space="preserve">Anexo 1. </w:t>
      </w:r>
      <w:bookmarkEnd w:id="236"/>
      <w:r w:rsidRPr="000E62F2">
        <w:rPr>
          <w:rFonts w:ascii="Arial" w:hAnsi="Arial" w:cs="Arial"/>
          <w:color w:val="auto"/>
          <w:sz w:val="22"/>
          <w:szCs w:val="22"/>
        </w:rPr>
        <w:t>Glosario</w:t>
      </w:r>
      <w:bookmarkEnd w:id="237"/>
      <w:r w:rsidRPr="000E62F2">
        <w:rPr>
          <w:rFonts w:ascii="Arial" w:hAnsi="Arial" w:cs="Arial"/>
          <w:color w:val="auto"/>
          <w:sz w:val="22"/>
          <w:szCs w:val="22"/>
        </w:rPr>
        <w:t xml:space="preserve"> </w:t>
      </w:r>
    </w:p>
    <w:p w:rsidR="00E778E4" w:rsidRDefault="00E778E4" w:rsidP="00E778E4"/>
    <w:p w:rsidR="00E778E4" w:rsidRPr="000D29EF" w:rsidRDefault="00E778E4" w:rsidP="00E778E4">
      <w:pPr>
        <w:spacing w:line="276" w:lineRule="auto"/>
        <w:jc w:val="both"/>
        <w:rPr>
          <w:rFonts w:ascii="Arial" w:hAnsi="Arial" w:cs="Arial"/>
        </w:rPr>
      </w:pPr>
      <w:r w:rsidRPr="000D29EF">
        <w:rPr>
          <w:rFonts w:ascii="Arial" w:hAnsi="Arial" w:cs="Arial"/>
          <w:b/>
        </w:rPr>
        <w:t>Café conversación</w:t>
      </w:r>
      <w:r w:rsidRPr="000D29EF">
        <w:rPr>
          <w:rFonts w:ascii="Arial" w:hAnsi="Arial" w:cs="Arial"/>
        </w:rPr>
        <w:t>: El Café Conversación es un modelo participativo desarrollado bajo el concepto de World Coffe por Juanita Brown en USA. Ha sido validado por el Centro Nacional de Consultoría (CNC) y fue aplicado por FUPAD para este ejercicio de construcción metodológica.</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 xml:space="preserve">Coeficiente de </w:t>
      </w:r>
      <w:proofErr w:type="spellStart"/>
      <w:r w:rsidRPr="000D29EF">
        <w:rPr>
          <w:rFonts w:ascii="Arial" w:hAnsi="Arial" w:cs="Arial"/>
          <w:b/>
        </w:rPr>
        <w:t>Gini</w:t>
      </w:r>
      <w:proofErr w:type="spellEnd"/>
      <w:r w:rsidRPr="000D29EF">
        <w:rPr>
          <w:rFonts w:ascii="Arial" w:hAnsi="Arial" w:cs="Arial"/>
          <w:b/>
        </w:rPr>
        <w:t>:</w:t>
      </w:r>
      <w:r w:rsidRPr="000D29EF">
        <w:rPr>
          <w:rFonts w:ascii="Arial" w:hAnsi="Arial" w:cs="Arial"/>
        </w:rPr>
        <w:t xml:space="preserve"> cociente que relaciona el área entre la curva de Lorenz y la diagonal y el área total bajo la diagonal. Por lo tanto, un coeficiente igual a cero es reflejo de una perfecta igualdad, por el contrario el  valor de 1 muestra una total desigualdad.</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Empleo independiente:</w:t>
      </w:r>
      <w:r w:rsidRPr="000D29EF">
        <w:rPr>
          <w:rFonts w:ascii="Arial" w:hAnsi="Arial" w:cs="Arial"/>
        </w:rPr>
        <w:t xml:space="preserve"> Empleo en el que la remuneración depende exclusivamente de las ganancias derivadas de los bienes o servicios producidos o comercializados de manera propia. </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 xml:space="preserve">Emprendimiento: </w:t>
      </w:r>
      <w:r w:rsidRPr="000D29EF">
        <w:rPr>
          <w:rFonts w:ascii="Arial" w:hAnsi="Arial" w:cs="Arial"/>
        </w:rPr>
        <w:t xml:space="preserve">Es la manera de actuar de un individuo en pro del inicio de un proyecto. La búsqueda de las oportunidades de negocios las hace a través de la identificación de ideas estratégicas. </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color w:val="000000"/>
        </w:rPr>
      </w:pPr>
      <w:r w:rsidRPr="000D29EF">
        <w:rPr>
          <w:rFonts w:ascii="Arial" w:hAnsi="Arial" w:cs="Arial"/>
          <w:b/>
        </w:rPr>
        <w:t>Espacios institucionales:</w:t>
      </w:r>
      <w:r w:rsidRPr="000D29EF">
        <w:rPr>
          <w:rFonts w:ascii="Arial" w:hAnsi="Arial" w:cs="Arial"/>
        </w:rPr>
        <w:t xml:space="preserve"> A</w:t>
      </w:r>
      <w:r w:rsidRPr="000D29EF">
        <w:rPr>
          <w:rFonts w:ascii="Arial" w:hAnsi="Arial" w:cs="Arial"/>
          <w:color w:val="000000"/>
        </w:rPr>
        <w:t>quellos reservados en todos los canales de televisión abierta por la Comisión Nacional de Televisión para la radiodifusión de contenidos realizados por entidades del Estado, o cuya producción haya sido contratada por éstas con terceros, con el fin de informar a la ciudadanía acerca del ejercicio propio de sus funciones, y destinados a la promoción de la unidad familiar, el civismo, la educación, los derechos humanos, la cultura y, en general, orientados a la divulgación de los fines y principios del Estado”.</w:t>
      </w:r>
    </w:p>
    <w:p w:rsidR="00E778E4" w:rsidRDefault="00E778E4" w:rsidP="00E778E4">
      <w:pPr>
        <w:spacing w:line="276" w:lineRule="auto"/>
        <w:jc w:val="both"/>
        <w:rPr>
          <w:rFonts w:ascii="Arial" w:hAnsi="Arial" w:cs="Arial"/>
          <w:b/>
        </w:rPr>
      </w:pPr>
    </w:p>
    <w:p w:rsidR="00E778E4" w:rsidRPr="00E778E4" w:rsidRDefault="00E778E4" w:rsidP="00E778E4">
      <w:pPr>
        <w:spacing w:line="276" w:lineRule="auto"/>
        <w:jc w:val="both"/>
        <w:rPr>
          <w:rFonts w:ascii="Arial" w:hAnsi="Arial" w:cs="Arial"/>
          <w:b/>
        </w:rPr>
      </w:pPr>
      <w:r w:rsidRPr="000D29EF">
        <w:rPr>
          <w:rFonts w:ascii="Arial" w:hAnsi="Arial" w:cs="Arial"/>
          <w:b/>
        </w:rPr>
        <w:t>Índice de Desarrollo Humano:</w:t>
      </w:r>
      <w:r w:rsidRPr="000D29EF">
        <w:rPr>
          <w:rFonts w:ascii="Arial" w:hAnsi="Arial" w:cs="Arial"/>
        </w:rPr>
        <w:t xml:space="preserve"> Es un indicador sintético que busca medir el desarrollo de un país por medio de tres indicadores simples: la longevidad, medida como la esperanza de vida al nacer; el nivel de vida, cuantificado por el PIB per cápita y el nivel educacional, calculado como la c</w:t>
      </w:r>
      <w:r w:rsidRPr="000D29EF">
        <w:rPr>
          <w:rFonts w:ascii="Arial" w:hAnsi="Arial" w:cs="Arial"/>
          <w:shd w:val="clear" w:color="auto" w:fill="FFFFFF"/>
        </w:rPr>
        <w:t xml:space="preserve">ombinación de la tasa de alfabetización de adultos (ponderación: dos tercios) y la tasa bruta de matrícula combinada de primaria, secundaria y superior (ponderación: un tercio). </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Índice de pobreza multidimensional:</w:t>
      </w:r>
      <w:r w:rsidRPr="000D29EF">
        <w:rPr>
          <w:rFonts w:ascii="Arial" w:hAnsi="Arial" w:cs="Arial"/>
        </w:rPr>
        <w:t xml:space="preserve"> Es un índice compuesto por diez indicadores que intenta condensar tres aspectos básicos para la definición de pobreza. El primer aspecto es la educación,  los indicadores que incluye son: Años de</w:t>
      </w:r>
      <w:r w:rsidRPr="000D29EF">
        <w:rPr>
          <w:rStyle w:val="apple-converted-space"/>
          <w:rFonts w:ascii="Arial" w:hAnsi="Arial" w:cs="Arial"/>
        </w:rPr>
        <w:t> </w:t>
      </w:r>
      <w:r w:rsidRPr="000D29EF">
        <w:rPr>
          <w:rFonts w:ascii="Arial" w:hAnsi="Arial" w:cs="Arial"/>
        </w:rPr>
        <w:t>escolarización y niños</w:t>
      </w:r>
      <w:r w:rsidRPr="000D29EF">
        <w:rPr>
          <w:rStyle w:val="apple-converted-space"/>
          <w:rFonts w:ascii="Arial" w:hAnsi="Arial" w:cs="Arial"/>
        </w:rPr>
        <w:t> </w:t>
      </w:r>
      <w:r w:rsidRPr="000D29EF">
        <w:rPr>
          <w:rFonts w:ascii="Arial" w:hAnsi="Arial" w:cs="Arial"/>
        </w:rPr>
        <w:t>escolarizados. El segundo aspecto es la asistencia sanitaria</w:t>
      </w:r>
      <w:r w:rsidRPr="000D29EF">
        <w:rPr>
          <w:rStyle w:val="apple-converted-space"/>
          <w:rFonts w:ascii="Arial" w:hAnsi="Arial" w:cs="Arial"/>
        </w:rPr>
        <w:t> </w:t>
      </w:r>
      <w:r w:rsidRPr="000D29EF">
        <w:rPr>
          <w:rFonts w:ascii="Arial" w:hAnsi="Arial" w:cs="Arial"/>
          <w:bCs/>
        </w:rPr>
        <w:t>-</w:t>
      </w:r>
      <w:r w:rsidRPr="000D29EF">
        <w:rPr>
          <w:rStyle w:val="apple-converted-space"/>
          <w:rFonts w:ascii="Arial" w:hAnsi="Arial" w:cs="Arial"/>
        </w:rPr>
        <w:t> </w:t>
      </w:r>
      <w:r w:rsidRPr="000D29EF">
        <w:rPr>
          <w:rFonts w:ascii="Arial" w:hAnsi="Arial" w:cs="Arial"/>
          <w:bCs/>
        </w:rPr>
        <w:t>salud</w:t>
      </w:r>
      <w:r w:rsidRPr="000D29EF">
        <w:rPr>
          <w:rStyle w:val="apple-converted-space"/>
          <w:rFonts w:ascii="Arial" w:hAnsi="Arial" w:cs="Arial"/>
        </w:rPr>
        <w:t>,</w:t>
      </w:r>
      <w:r w:rsidRPr="000D29EF">
        <w:rPr>
          <w:rFonts w:ascii="Arial" w:hAnsi="Arial" w:cs="Arial"/>
        </w:rPr>
        <w:t xml:space="preserve"> que incorpora la mortalidad infantil y la nutrición. El tercer aspecto es la calidad de vida</w:t>
      </w:r>
      <w:r w:rsidRPr="000D29EF">
        <w:rPr>
          <w:rStyle w:val="apple-converted-space"/>
          <w:rFonts w:ascii="Arial" w:hAnsi="Arial" w:cs="Arial"/>
        </w:rPr>
        <w:t> </w:t>
      </w:r>
      <w:r w:rsidRPr="000D29EF">
        <w:rPr>
          <w:rFonts w:ascii="Arial" w:hAnsi="Arial" w:cs="Arial"/>
          <w:bCs/>
        </w:rPr>
        <w:t>-</w:t>
      </w:r>
      <w:r w:rsidRPr="000D29EF">
        <w:rPr>
          <w:rStyle w:val="apple-converted-space"/>
          <w:rFonts w:ascii="Arial" w:hAnsi="Arial" w:cs="Arial"/>
        </w:rPr>
        <w:t> </w:t>
      </w:r>
      <w:r w:rsidRPr="000D29EF">
        <w:rPr>
          <w:rFonts w:ascii="Arial" w:hAnsi="Arial" w:cs="Arial"/>
        </w:rPr>
        <w:t>bienestar social</w:t>
      </w:r>
      <w:r w:rsidRPr="000D29EF">
        <w:rPr>
          <w:rStyle w:val="apple-converted-space"/>
          <w:rFonts w:ascii="Arial" w:hAnsi="Arial" w:cs="Arial"/>
        </w:rPr>
        <w:t> </w:t>
      </w:r>
      <w:r w:rsidRPr="000D29EF">
        <w:rPr>
          <w:rFonts w:ascii="Arial" w:hAnsi="Arial" w:cs="Arial"/>
        </w:rPr>
        <w:t xml:space="preserve">que introduce: El acceso a la electricidad, al saneamiento, al agua potable, las condiciones del suelo, el combustible de hogar y los bienes (sin acceso si </w:t>
      </w:r>
      <w:r w:rsidRPr="000D29EF">
        <w:rPr>
          <w:rFonts w:ascii="Arial" w:hAnsi="Arial" w:cs="Arial"/>
        </w:rPr>
        <w:lastRenderedPageBreak/>
        <w:t xml:space="preserve">el hogar no tiene más de uno de los siguientes bienes: radio, televisión, teléfono, bicicleta o moto). </w:t>
      </w:r>
    </w:p>
    <w:p w:rsidR="00E778E4" w:rsidRPr="000D29EF" w:rsidRDefault="00E778E4" w:rsidP="00E778E4">
      <w:pPr>
        <w:spacing w:line="276" w:lineRule="auto"/>
        <w:jc w:val="both"/>
        <w:rPr>
          <w:rFonts w:ascii="Arial" w:hAnsi="Arial" w:cs="Arial"/>
        </w:rPr>
      </w:pPr>
    </w:p>
    <w:p w:rsidR="00E778E4" w:rsidRPr="000D29EF" w:rsidRDefault="00E778E4" w:rsidP="00E778E4">
      <w:pPr>
        <w:spacing w:line="276" w:lineRule="auto"/>
        <w:jc w:val="both"/>
        <w:rPr>
          <w:rFonts w:ascii="Arial" w:hAnsi="Arial" w:cs="Arial"/>
        </w:rPr>
      </w:pPr>
      <w:r w:rsidRPr="000D29EF">
        <w:rPr>
          <w:rFonts w:ascii="Arial" w:hAnsi="Arial" w:cs="Arial"/>
          <w:b/>
          <w:bCs/>
        </w:rPr>
        <w:t>Ingreso</w:t>
      </w:r>
      <w:r w:rsidRPr="000D29EF">
        <w:rPr>
          <w:rFonts w:ascii="Arial" w:hAnsi="Arial" w:cs="Arial"/>
          <w:b/>
        </w:rPr>
        <w:t>:</w:t>
      </w:r>
      <w:r w:rsidRPr="000D29EF">
        <w:rPr>
          <w:rFonts w:ascii="Arial" w:hAnsi="Arial" w:cs="Arial"/>
        </w:rPr>
        <w:t xml:space="preserve"> Entradas de dinero al hogar, ocurridas con cierta periodicidad dentro de un lapso de tiempo determinado, que permiten establecer y mantener un determinado nivel de gasto del hogar.</w:t>
      </w:r>
    </w:p>
    <w:p w:rsidR="00E778E4" w:rsidRDefault="00E778E4" w:rsidP="00E778E4">
      <w:pPr>
        <w:spacing w:line="276" w:lineRule="auto"/>
        <w:jc w:val="both"/>
        <w:rPr>
          <w:rFonts w:ascii="Arial" w:hAnsi="Arial" w:cs="Arial"/>
          <w:b/>
          <w:bCs/>
        </w:rPr>
      </w:pPr>
      <w:bookmarkStart w:id="238" w:name="_Toc385838223"/>
    </w:p>
    <w:p w:rsidR="00E778E4" w:rsidRPr="000D29EF" w:rsidRDefault="00E778E4" w:rsidP="00E778E4">
      <w:pPr>
        <w:spacing w:line="276" w:lineRule="auto"/>
        <w:jc w:val="both"/>
        <w:rPr>
          <w:rFonts w:ascii="Arial" w:hAnsi="Arial" w:cs="Arial"/>
        </w:rPr>
      </w:pPr>
      <w:r w:rsidRPr="000D29EF">
        <w:rPr>
          <w:rFonts w:ascii="Arial" w:hAnsi="Arial" w:cs="Arial"/>
          <w:b/>
          <w:bCs/>
        </w:rPr>
        <w:t>Ingresos del trabajo:</w:t>
      </w:r>
      <w:r w:rsidRPr="000D29EF">
        <w:rPr>
          <w:rFonts w:ascii="Arial" w:hAnsi="Arial" w:cs="Arial"/>
        </w:rPr>
        <w:t> Remuneración de los empleados (sueldos y salarios, primas, bonificaciones, etc.) en efectivo o en especie.</w:t>
      </w:r>
      <w:bookmarkEnd w:id="238"/>
    </w:p>
    <w:p w:rsidR="00E778E4" w:rsidRDefault="00E778E4" w:rsidP="00E778E4">
      <w:pPr>
        <w:spacing w:line="276" w:lineRule="auto"/>
        <w:jc w:val="both"/>
        <w:rPr>
          <w:rFonts w:ascii="Arial" w:hAnsi="Arial" w:cs="Arial"/>
          <w:b/>
          <w:bCs/>
        </w:rPr>
      </w:pPr>
    </w:p>
    <w:p w:rsidR="00E778E4" w:rsidRPr="000D29EF" w:rsidRDefault="00E778E4" w:rsidP="00E778E4">
      <w:pPr>
        <w:spacing w:line="276" w:lineRule="auto"/>
        <w:jc w:val="both"/>
        <w:rPr>
          <w:rFonts w:ascii="Arial" w:hAnsi="Arial" w:cs="Arial"/>
        </w:rPr>
      </w:pPr>
      <w:r w:rsidRPr="000D29EF">
        <w:rPr>
          <w:rFonts w:ascii="Arial" w:hAnsi="Arial" w:cs="Arial"/>
          <w:b/>
          <w:bCs/>
        </w:rPr>
        <w:t>Ingreso personal:</w:t>
      </w:r>
      <w:r w:rsidRPr="000D29EF">
        <w:rPr>
          <w:rFonts w:ascii="Arial" w:hAnsi="Arial" w:cs="Arial"/>
        </w:rPr>
        <w:t> está determinado por los ingresos de trabajo, la renta de la propiedad, las transferencias corrientes y otras prestaciones recibidas.</w:t>
      </w:r>
    </w:p>
    <w:p w:rsidR="00E778E4" w:rsidRDefault="00E778E4" w:rsidP="00E778E4">
      <w:pPr>
        <w:spacing w:line="276" w:lineRule="auto"/>
        <w:jc w:val="both"/>
        <w:rPr>
          <w:rFonts w:ascii="Arial" w:hAnsi="Arial" w:cs="Arial"/>
          <w:b/>
        </w:rPr>
      </w:pPr>
      <w:bookmarkStart w:id="239" w:name="_Toc385838224"/>
    </w:p>
    <w:p w:rsidR="00E778E4" w:rsidRPr="000D29EF" w:rsidRDefault="00E778E4" w:rsidP="00E778E4">
      <w:pPr>
        <w:spacing w:line="276" w:lineRule="auto"/>
        <w:jc w:val="both"/>
        <w:rPr>
          <w:rFonts w:ascii="Arial" w:hAnsi="Arial" w:cs="Arial"/>
        </w:rPr>
      </w:pPr>
      <w:r w:rsidRPr="000D29EF">
        <w:rPr>
          <w:rFonts w:ascii="Arial" w:hAnsi="Arial" w:cs="Arial"/>
          <w:b/>
        </w:rPr>
        <w:t>Joven</w:t>
      </w:r>
      <w:r w:rsidRPr="000D29EF">
        <w:rPr>
          <w:rFonts w:ascii="Arial" w:hAnsi="Arial" w:cs="Arial"/>
        </w:rPr>
        <w:t>: se entiende por joven la persona entre 14 y 26 años de edad (Ley 375 de 1997).</w:t>
      </w:r>
      <w:bookmarkEnd w:id="239"/>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Línea de pobreza:</w:t>
      </w:r>
      <w:r w:rsidRPr="000D29EF">
        <w:rPr>
          <w:rFonts w:ascii="Arial" w:hAnsi="Arial" w:cs="Arial"/>
        </w:rPr>
        <w:t xml:space="preserve"> Es el nivel mínimo de ingreso, consumo o de ingesta de calorías por debajo del cual se considera que un individuo es pobre. </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Migración poblacional</w:t>
      </w:r>
      <w:r w:rsidRPr="000D29EF">
        <w:rPr>
          <w:rFonts w:ascii="Arial" w:hAnsi="Arial" w:cs="Arial"/>
        </w:rPr>
        <w:t>: son los movimientos que realizan los individuos de un país. Pueden ser internos, es decir, ocurre dentro del mismo país o externos cuando la población se desplaza de un país a otro.</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color w:val="1D1D1D"/>
          <w:shd w:val="clear" w:color="auto" w:fill="FFFFFF"/>
        </w:rPr>
      </w:pPr>
      <w:r w:rsidRPr="000D29EF">
        <w:rPr>
          <w:rFonts w:ascii="Arial" w:hAnsi="Arial" w:cs="Arial"/>
          <w:b/>
        </w:rPr>
        <w:t>Necesidades Básicas insatisfechas (NBI):</w:t>
      </w:r>
      <w:r w:rsidRPr="000D29EF">
        <w:rPr>
          <w:rFonts w:ascii="Arial" w:hAnsi="Arial" w:cs="Arial"/>
        </w:rPr>
        <w:t xml:space="preserve"> Es un indicador sintético que busca identificar si las necesidades básicas de la población se encuentran cubiertas. Los indicadores simples que componen este indicador son: </w:t>
      </w:r>
      <w:r w:rsidRPr="000D29EF">
        <w:rPr>
          <w:rFonts w:ascii="Arial" w:hAnsi="Arial" w:cs="Arial"/>
          <w:color w:val="1D1D1D"/>
          <w:shd w:val="clear" w:color="auto" w:fill="FFFFFF"/>
        </w:rPr>
        <w:t>viviendas inadecuadas, viviendas con hacinamiento crítico, viviendas con servicios inadecuados, viviendas con alta dependencia económica, viviendas con niños en edad escolar que no asisten a la escuela.</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Objetivos del milenio:</w:t>
      </w:r>
      <w:r w:rsidRPr="000D29EF">
        <w:rPr>
          <w:rFonts w:ascii="Arial" w:hAnsi="Arial" w:cs="Arial"/>
        </w:rPr>
        <w:t xml:space="preserve"> Son las metas fijadas para lograr el desarrollo de los países. Estos objetivos son: erradicar la pobreza extrema y el hambre, lograr la enseñanza primaria universal, promover la igualdad entre los sexos y la autonomía de la mujer, reducir la mortalidad de los niños menores de cinco años, mejorar la salud materna, combatir el VIH/SIDA, el paludismo y otras enfermedades, garantizar la sostenibilidad del medio ambiente y fomentar una asociación mundial para el desarrollo. </w:t>
      </w:r>
    </w:p>
    <w:p w:rsidR="00E778E4" w:rsidRDefault="00E778E4" w:rsidP="00E778E4">
      <w:pPr>
        <w:shd w:val="clear" w:color="auto" w:fill="FFFFFF"/>
        <w:spacing w:after="324" w:line="276" w:lineRule="auto"/>
        <w:jc w:val="both"/>
        <w:rPr>
          <w:rFonts w:ascii="Arial" w:hAnsi="Arial" w:cs="Arial"/>
          <w:b/>
          <w:bCs/>
        </w:rPr>
      </w:pP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Perceptor de ingresos:</w:t>
      </w:r>
      <w:r w:rsidRPr="000D29EF">
        <w:rPr>
          <w:rFonts w:ascii="Arial" w:hAnsi="Arial" w:cs="Arial"/>
        </w:rPr>
        <w:t> es toda persona de 12 años y más que durante el período de referencia (mes pasado o últimos 12 meses) recibió ingresos por conceptos del trabajo (sueldos y salarios, horas extras, primas, etc.), trabajo independiente y/o ingresos de capital, transferencias, etc.</w:t>
      </w:r>
    </w:p>
    <w:p w:rsidR="00E778E4" w:rsidRPr="000D29EF" w:rsidRDefault="00E778E4" w:rsidP="00E778E4">
      <w:pPr>
        <w:spacing w:line="276" w:lineRule="auto"/>
        <w:jc w:val="both"/>
        <w:rPr>
          <w:rFonts w:ascii="Arial" w:hAnsi="Arial" w:cs="Arial"/>
          <w:shd w:val="clear" w:color="auto" w:fill="FFFFFF"/>
        </w:rPr>
      </w:pPr>
      <w:r w:rsidRPr="000D29EF">
        <w:rPr>
          <w:rFonts w:ascii="Arial" w:hAnsi="Arial" w:cs="Arial"/>
          <w:b/>
        </w:rPr>
        <w:t>Plan Departamental de Empleo (PDE</w:t>
      </w:r>
      <w:r w:rsidRPr="000D29EF">
        <w:rPr>
          <w:rFonts w:ascii="Arial" w:hAnsi="Arial" w:cs="Arial"/>
        </w:rPr>
        <w:t xml:space="preserve">):” </w:t>
      </w:r>
      <w:r w:rsidRPr="000D29EF">
        <w:rPr>
          <w:rFonts w:ascii="Arial" w:hAnsi="Arial" w:cs="Arial"/>
          <w:shd w:val="clear" w:color="auto" w:fill="FFFFFF"/>
        </w:rPr>
        <w:t xml:space="preserve">Es el resultado de un acuerdo social que permite definir, orientar y priorizar los objetivos, lineamientos, estrategias, acciones e instrumentos financiables, concretos y medibles de corto y mediano plazo para fomentar y dinamizar la creación de empleo y la generación de ingresos sostenibles acorde con las condiciones y potenciales de crecimiento económico, las capacidades </w:t>
      </w:r>
      <w:r w:rsidRPr="000D29EF">
        <w:rPr>
          <w:rFonts w:ascii="Arial" w:hAnsi="Arial" w:cs="Arial"/>
          <w:shd w:val="clear" w:color="auto" w:fill="FFFFFF"/>
        </w:rPr>
        <w:lastRenderedPageBreak/>
        <w:t>institucionales y las características diferenciadas de la población más vulnerable en las regiones” (Ministerio de Trabajo, 2012)</w:t>
      </w:r>
    </w:p>
    <w:p w:rsidR="00E778E4" w:rsidRDefault="00E778E4" w:rsidP="00E778E4">
      <w:pPr>
        <w:shd w:val="clear" w:color="auto" w:fill="FFFFFF"/>
        <w:spacing w:after="324" w:line="276" w:lineRule="auto"/>
        <w:jc w:val="both"/>
        <w:rPr>
          <w:rFonts w:ascii="Arial" w:hAnsi="Arial" w:cs="Arial"/>
          <w:b/>
          <w:bCs/>
        </w:rPr>
      </w:pP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Población económicamente activa (P.E.A.):</w:t>
      </w:r>
      <w:r w:rsidRPr="000D29EF">
        <w:rPr>
          <w:rFonts w:ascii="Arial" w:hAnsi="Arial" w:cs="Arial"/>
          <w:bCs/>
        </w:rPr>
        <w:t xml:space="preserve"> también se llama fuerza laboral y son las personas en edad de trabajar, que trabajan o están buscando empleo. Esta población se divide en:</w:t>
      </w:r>
    </w:p>
    <w:p w:rsidR="00E778E4" w:rsidRPr="000D29EF" w:rsidRDefault="00E778E4" w:rsidP="00DC6E74">
      <w:pPr>
        <w:numPr>
          <w:ilvl w:val="1"/>
          <w:numId w:val="18"/>
        </w:numPr>
        <w:shd w:val="clear" w:color="auto" w:fill="FFFFFF"/>
        <w:spacing w:after="324" w:line="276" w:lineRule="auto"/>
        <w:jc w:val="both"/>
        <w:rPr>
          <w:rFonts w:ascii="Arial" w:hAnsi="Arial" w:cs="Arial"/>
        </w:rPr>
      </w:pPr>
      <w:r w:rsidRPr="000D29EF">
        <w:rPr>
          <w:rFonts w:ascii="Arial" w:hAnsi="Arial" w:cs="Arial"/>
          <w:bCs/>
        </w:rPr>
        <w:t xml:space="preserve">Ocupados (O): Son las personas que durante el período de referencia se encontraban en una de las siguientes situaciones: Trabajando por lo menos una hora remunerada en la semana de referencia, sin trabajo la semana de referencia, pero con algún trabajo, trabajando para algún familiar en la semana de referencia por lo menos una hora sin remuneración. Esta categoría a su vez se divide entre los plenamente ocupados (trabajadores de tiempo completo y de tiempo parcial) y los subempleados (personas que desean y pueden trabajar más tiempo del que efectivamente dedican a sus ocupaciones remuneradas). </w:t>
      </w:r>
    </w:p>
    <w:p w:rsidR="00E778E4" w:rsidRPr="000D29EF" w:rsidRDefault="00E778E4" w:rsidP="00DC6E74">
      <w:pPr>
        <w:numPr>
          <w:ilvl w:val="1"/>
          <w:numId w:val="18"/>
        </w:numPr>
        <w:shd w:val="clear" w:color="auto" w:fill="FFFFFF"/>
        <w:spacing w:after="324" w:line="276" w:lineRule="auto"/>
        <w:jc w:val="both"/>
        <w:rPr>
          <w:rFonts w:ascii="Arial" w:hAnsi="Arial" w:cs="Arial"/>
        </w:rPr>
      </w:pPr>
      <w:r w:rsidRPr="000D29EF">
        <w:rPr>
          <w:rFonts w:ascii="Arial" w:hAnsi="Arial" w:cs="Arial"/>
          <w:bCs/>
        </w:rPr>
        <w:t>Desocupados (D): son las personas que en la semana de referencia se encontraban en una de las siguientes situaciones: Desempleo abierto: Sin empleo en la semana de referencia, pero hicieron diligencias en el último mes. Desempleo oculto: Sin empleo en la semana de referencia, no hicieron diligencias en el último mes, pero sí en los últimos 12 meses y tienen una razón válida de desaliento. Desempleo: Razones válidas: No hay trabajo disponible en la ciudad, está esperando que lo llamen, no sabe cómo buscar trabajo, está cansado de buscar trabajo, No encuentra trabajo apropiado en su oficio o profesión, está esperando la temporada alta, carece de la experiencia necesaria, no tiene recursos para instalar un negocio, los empleadores lo consideran muy joven o muy viejo; Razones no válidas: Se considera muy joven o muy viejo, actualmente no desea conseguir trabajo, responsabilidades familiares, problemas de salud, está estudiando. Ocupados Temporales: Están constituidos por las personas que ejercen un trabajo de forma esporádica o no continua, trabajando sólo por ciertas épocas o períodos o cuando tienen un contrato de trabajo hasta por un (1) año.</w:t>
      </w:r>
    </w:p>
    <w:p w:rsidR="00E778E4" w:rsidRPr="000D29EF" w:rsidRDefault="00E778E4" w:rsidP="00E778E4">
      <w:pPr>
        <w:shd w:val="clear" w:color="auto" w:fill="FFFFFF"/>
        <w:spacing w:after="324" w:line="276" w:lineRule="auto"/>
        <w:jc w:val="both"/>
        <w:rPr>
          <w:rFonts w:ascii="Arial" w:hAnsi="Arial" w:cs="Arial"/>
          <w:bCs/>
        </w:rPr>
      </w:pPr>
      <w:r w:rsidRPr="000D29EF">
        <w:rPr>
          <w:rFonts w:ascii="Arial" w:hAnsi="Arial" w:cs="Arial"/>
          <w:b/>
          <w:bCs/>
        </w:rPr>
        <w:t>Población Económicamente Inactiva (PEI):</w:t>
      </w:r>
      <w:r w:rsidRPr="000D29EF">
        <w:rPr>
          <w:rFonts w:ascii="Arial" w:hAnsi="Arial" w:cs="Arial"/>
          <w:bCs/>
        </w:rPr>
        <w:t xml:space="preserve"> comprende a todas las personas en edad de trabajar que no participan en la producción de bienes y servicios porque no necesitan, no pueden o no están interesadas en tener actividad remunerada. A este grupo pertenecen estudiantes, amas de casa, pensionados, jubilados, rentistas, inválidos (incapacitados permanentemente para trabajar), personas que no les llama la atención o creen que no vale la pena trabajar.</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Población en edad de trabajar (P.E.T.):</w:t>
      </w:r>
      <w:r w:rsidRPr="000D29EF">
        <w:rPr>
          <w:rFonts w:ascii="Arial" w:hAnsi="Arial" w:cs="Arial"/>
          <w:bCs/>
        </w:rPr>
        <w:t xml:space="preserve"> está constituida por las personas de 12 y más años en la parte urbana, y de 10 años y más en la parte rural.</w:t>
      </w:r>
    </w:p>
    <w:p w:rsidR="00E778E4" w:rsidRPr="000D29EF" w:rsidRDefault="00E778E4" w:rsidP="00E778E4">
      <w:pPr>
        <w:shd w:val="clear" w:color="auto" w:fill="FFFFFF"/>
        <w:spacing w:after="324" w:line="276" w:lineRule="auto"/>
        <w:jc w:val="both"/>
        <w:rPr>
          <w:rFonts w:ascii="Arial" w:hAnsi="Arial" w:cs="Arial"/>
          <w:bCs/>
        </w:rPr>
      </w:pPr>
      <w:r w:rsidRPr="000D29EF">
        <w:rPr>
          <w:rFonts w:ascii="Arial" w:hAnsi="Arial" w:cs="Arial"/>
          <w:b/>
          <w:bCs/>
        </w:rPr>
        <w:lastRenderedPageBreak/>
        <w:t>Población inactiva desalentada:</w:t>
      </w:r>
      <w:r w:rsidRPr="000D29EF">
        <w:rPr>
          <w:rFonts w:ascii="Arial" w:hAnsi="Arial" w:cs="Arial"/>
          <w:bCs/>
        </w:rPr>
        <w:t xml:space="preserve"> son aquellas personas que dejaron de buscar trabajo porque no había disponibilidad de un empleo, por alguna enfermedad, porque estaban cansados de buscar, porque se consideraban no estar calificados, por la edad o por adquirir responsabilidades familiares.</w:t>
      </w:r>
    </w:p>
    <w:p w:rsidR="00E778E4" w:rsidRPr="000D29EF" w:rsidRDefault="00E778E4" w:rsidP="00E778E4">
      <w:pPr>
        <w:spacing w:line="276" w:lineRule="auto"/>
        <w:jc w:val="both"/>
        <w:rPr>
          <w:rFonts w:ascii="Arial" w:hAnsi="Arial" w:cs="Arial"/>
        </w:rPr>
      </w:pPr>
      <w:r w:rsidRPr="000D29EF">
        <w:rPr>
          <w:rFonts w:ascii="Arial" w:hAnsi="Arial" w:cs="Arial"/>
          <w:b/>
        </w:rPr>
        <w:t>Producto Interno Bruto (PIB</w:t>
      </w:r>
      <w:r w:rsidRPr="000D29EF">
        <w:rPr>
          <w:rFonts w:ascii="Arial" w:hAnsi="Arial" w:cs="Arial"/>
        </w:rPr>
        <w:t xml:space="preserve">): Es el resultado final de la actividad productiva de los residentes. Se puede calcular desde el valor agregado, desde la demanda final o desde la utilización final de los bienes y servicios y de los ingresos primarios. </w:t>
      </w:r>
    </w:p>
    <w:p w:rsidR="00E778E4" w:rsidRDefault="00E778E4" w:rsidP="00E778E4">
      <w:pPr>
        <w:shd w:val="clear" w:color="auto" w:fill="FFFFFF"/>
        <w:spacing w:after="324" w:line="276" w:lineRule="auto"/>
        <w:jc w:val="both"/>
        <w:rPr>
          <w:rFonts w:ascii="Arial" w:hAnsi="Arial" w:cs="Arial"/>
          <w:b/>
          <w:bCs/>
        </w:rPr>
      </w:pP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Proyección de población:</w:t>
      </w:r>
      <w:r w:rsidRPr="000D29EF">
        <w:rPr>
          <w:rFonts w:ascii="Arial" w:hAnsi="Arial" w:cs="Arial"/>
          <w:bCs/>
        </w:rPr>
        <w:t> </w:t>
      </w:r>
      <w:r w:rsidRPr="000D29EF">
        <w:rPr>
          <w:rFonts w:ascii="Arial" w:hAnsi="Arial" w:cs="Arial"/>
        </w:rPr>
        <w:t>Es el resultado de un conjunto de estimaciones demográficas, matemáticas o de otro tipo, por medio de las cuales se busca establecer las tendencias de las variables determinantes de la diná</w:t>
      </w:r>
      <w:r w:rsidRPr="000D29EF">
        <w:rPr>
          <w:rFonts w:ascii="Arial" w:hAnsi="Arial" w:cs="Arial"/>
        </w:rPr>
        <w:softHyphen/>
        <w:t xml:space="preserve">mica poblacional. </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Razón de dependencia por edad:</w:t>
      </w:r>
      <w:r w:rsidRPr="000D29EF">
        <w:rPr>
          <w:rFonts w:ascii="Arial" w:hAnsi="Arial" w:cs="Arial"/>
          <w:bCs/>
        </w:rPr>
        <w:t xml:space="preserve"> </w:t>
      </w:r>
      <w:r w:rsidRPr="000D29EF">
        <w:rPr>
          <w:rFonts w:ascii="Arial" w:hAnsi="Arial" w:cs="Arial"/>
        </w:rPr>
        <w:t>Es la razón de personas en edades en las que “dependen” (generalmente personas menores de 15 y mayores de 64 años) de personas “económicamente productivas” (entre 15 y 64 años de edad) en una población.</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rPr>
        <w:t>Red Unidos:</w:t>
      </w:r>
      <w:r w:rsidRPr="000D29EF">
        <w:rPr>
          <w:rFonts w:ascii="Arial" w:hAnsi="Arial" w:cs="Arial"/>
        </w:rPr>
        <w:t xml:space="preserve"> Se constituye como una estrategia nacional de intervención integral, que busca contribuir al mejoramiento de las condiciones de vida de las familias objeto de su intervención, la acumulación de capital social y humano y, en consecuencia, a la reducción de los niveles de pobreza y pobreza extrema en el país.</w:t>
      </w:r>
    </w:p>
    <w:p w:rsidR="00E778E4" w:rsidRPr="000D29EF" w:rsidRDefault="00E778E4" w:rsidP="00E778E4">
      <w:pPr>
        <w:spacing w:line="276" w:lineRule="auto"/>
        <w:jc w:val="both"/>
        <w:rPr>
          <w:rFonts w:ascii="Arial" w:hAnsi="Arial" w:cs="Arial"/>
        </w:rPr>
      </w:pPr>
      <w:bookmarkStart w:id="240" w:name="_Toc385838225"/>
      <w:r w:rsidRPr="000D29EF">
        <w:rPr>
          <w:rFonts w:ascii="Arial" w:hAnsi="Arial" w:cs="Arial"/>
          <w:b/>
        </w:rPr>
        <w:t>Régimen de salud</w:t>
      </w:r>
      <w:r w:rsidRPr="000D29EF">
        <w:rPr>
          <w:rFonts w:ascii="Arial" w:hAnsi="Arial" w:cs="Arial"/>
        </w:rPr>
        <w:t>: El régimen de salud en Colombia se encuentra dividido en dos categorías:</w:t>
      </w:r>
      <w:bookmarkEnd w:id="240"/>
    </w:p>
    <w:p w:rsidR="00E778E4" w:rsidRPr="000D29EF" w:rsidRDefault="00E778E4" w:rsidP="00DC6E74">
      <w:pPr>
        <w:numPr>
          <w:ilvl w:val="0"/>
          <w:numId w:val="19"/>
        </w:numPr>
        <w:spacing w:after="200" w:line="276" w:lineRule="auto"/>
        <w:jc w:val="both"/>
        <w:rPr>
          <w:rFonts w:ascii="Arial" w:hAnsi="Arial" w:cs="Arial"/>
        </w:rPr>
      </w:pPr>
      <w:r w:rsidRPr="000D29EF">
        <w:rPr>
          <w:rFonts w:ascii="Arial" w:hAnsi="Arial" w:cs="Arial"/>
        </w:rPr>
        <w:t xml:space="preserve">Régimen contributivo: son el conjunto de normas que rigen a la afiliación de las personas con capacidad de pagar el acceso al sistema de seguridad en salud, junto con sus núcleos familiares. </w:t>
      </w:r>
    </w:p>
    <w:p w:rsidR="00E778E4" w:rsidRPr="000D29EF" w:rsidRDefault="00E778E4" w:rsidP="00DC6E74">
      <w:pPr>
        <w:numPr>
          <w:ilvl w:val="0"/>
          <w:numId w:val="19"/>
        </w:numPr>
        <w:spacing w:after="200" w:line="276" w:lineRule="auto"/>
        <w:jc w:val="both"/>
        <w:rPr>
          <w:rFonts w:ascii="Arial" w:hAnsi="Arial" w:cs="Arial"/>
        </w:rPr>
      </w:pPr>
      <w:r w:rsidRPr="000D29EF">
        <w:rPr>
          <w:rFonts w:ascii="Arial" w:hAnsi="Arial" w:cs="Arial"/>
        </w:rPr>
        <w:t xml:space="preserve"> Régimen subsidiado: Son el conjunto de normas que rigen a la población sin capacidad de pagar el acceso al sistema de seguridad en salud, que han sido identificados a través de la encuesta del SISBÉN. La cotización de estas personas es financiada por el Estado.</w:t>
      </w:r>
    </w:p>
    <w:p w:rsidR="00E778E4" w:rsidRPr="000D29EF" w:rsidRDefault="00E778E4" w:rsidP="00E778E4">
      <w:pPr>
        <w:spacing w:line="276" w:lineRule="auto"/>
        <w:jc w:val="both"/>
        <w:rPr>
          <w:rFonts w:ascii="Arial" w:hAnsi="Arial" w:cs="Arial"/>
        </w:rPr>
      </w:pPr>
      <w:r w:rsidRPr="000D29EF">
        <w:rPr>
          <w:rFonts w:ascii="Arial" w:hAnsi="Arial" w:cs="Arial"/>
          <w:b/>
          <w:bCs/>
        </w:rPr>
        <w:t>Salario en especie:</w:t>
      </w:r>
      <w:r w:rsidRPr="000D29EF">
        <w:rPr>
          <w:rFonts w:ascii="Arial" w:hAnsi="Arial" w:cs="Arial"/>
        </w:rPr>
        <w:t> Comprende los bienes y servicios suministrados a alguno o algunos de los miembros del hogar que cubren una parte o el total del pago por su trabajo y que es recibida por ellos durante el periodo de referencia. Se toma en la parte de ingreso para luego imputarlo como gasto de acuerdo a la finalidad del mismo.</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Sectores económicos:</w:t>
      </w:r>
      <w:r w:rsidRPr="000D29EF">
        <w:rPr>
          <w:rFonts w:ascii="Arial" w:hAnsi="Arial" w:cs="Arial"/>
        </w:rPr>
        <w:t xml:space="preserve"> Hace referencia a una parte de la actividad económica que contiene elementos con características comunes. Esta división se hace tiendo en cuenta los procesos de producción de cada elemento, así según la economía clásica los sectores son: el pri</w:t>
      </w:r>
      <w:r w:rsidRPr="000D29EF">
        <w:rPr>
          <w:rFonts w:ascii="Arial" w:hAnsi="Arial" w:cs="Arial"/>
          <w:color w:val="333333"/>
        </w:rPr>
        <w:t xml:space="preserve">mario o agropecuario, el secundario o Industrial y el sector o sector de servicios. </w:t>
      </w:r>
    </w:p>
    <w:p w:rsidR="00E778E4" w:rsidRDefault="00E778E4" w:rsidP="00E778E4">
      <w:pPr>
        <w:shd w:val="clear" w:color="auto" w:fill="FFFFFF"/>
        <w:spacing w:after="324" w:line="276" w:lineRule="auto"/>
        <w:jc w:val="both"/>
        <w:rPr>
          <w:rFonts w:ascii="Arial" w:hAnsi="Arial" w:cs="Arial"/>
          <w:b/>
        </w:rPr>
      </w:pP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rPr>
        <w:lastRenderedPageBreak/>
        <w:t xml:space="preserve">Subempleo </w:t>
      </w:r>
      <w:r w:rsidRPr="000D29EF">
        <w:rPr>
          <w:rFonts w:ascii="Arial" w:hAnsi="Arial" w:cs="Arial"/>
          <w:b/>
          <w:bCs/>
        </w:rPr>
        <w:t>y Condiciones de Empleo Inadecuado:</w:t>
      </w:r>
      <w:r w:rsidRPr="000D29EF">
        <w:rPr>
          <w:rFonts w:ascii="Arial" w:hAnsi="Arial" w:cs="Arial"/>
          <w:bCs/>
        </w:rPr>
        <w:t xml:space="preserve"> El subempleo subjetivo se refiere al simple deseo manifestado por el trabajador de mejorar sus ingresos, el número de horas trabajadas o tener una labor más propia de sus personales competencias. El subempleo objetivo comprende a quienes tienen el deseo, pero además han hecho una gestión para materializar su aspiración y están en disposición de efectuar el cambio.</w:t>
      </w:r>
    </w:p>
    <w:p w:rsidR="00E778E4" w:rsidRPr="000D29EF" w:rsidRDefault="00E778E4" w:rsidP="00DC6E74">
      <w:pPr>
        <w:numPr>
          <w:ilvl w:val="0"/>
          <w:numId w:val="20"/>
        </w:numPr>
        <w:shd w:val="clear" w:color="auto" w:fill="FFFFFF"/>
        <w:spacing w:after="324" w:line="276" w:lineRule="auto"/>
        <w:jc w:val="both"/>
        <w:rPr>
          <w:rFonts w:ascii="Arial" w:hAnsi="Arial" w:cs="Arial"/>
          <w:bCs/>
        </w:rPr>
      </w:pPr>
      <w:r w:rsidRPr="000D29EF">
        <w:rPr>
          <w:rFonts w:ascii="Arial" w:hAnsi="Arial" w:cs="Arial"/>
          <w:b/>
          <w:bCs/>
        </w:rPr>
        <w:t>Subempleo por insuficiencia de horas:</w:t>
      </w:r>
      <w:r w:rsidRPr="000D29EF">
        <w:rPr>
          <w:rFonts w:ascii="Arial" w:hAnsi="Arial" w:cs="Arial"/>
          <w:bCs/>
        </w:rPr>
        <w:t xml:space="preserve"> Ocupados que desean trabajar más horas ya sea en su empleo principal o secundario y tienen una jornada inferior a 48 horas semanales.</w:t>
      </w:r>
    </w:p>
    <w:p w:rsidR="00E778E4" w:rsidRPr="000D29EF" w:rsidRDefault="00E778E4" w:rsidP="00DC6E74">
      <w:pPr>
        <w:numPr>
          <w:ilvl w:val="0"/>
          <w:numId w:val="20"/>
        </w:numPr>
        <w:shd w:val="clear" w:color="auto" w:fill="FFFFFF"/>
        <w:spacing w:after="324" w:line="276" w:lineRule="auto"/>
        <w:jc w:val="both"/>
        <w:rPr>
          <w:rFonts w:ascii="Arial" w:hAnsi="Arial" w:cs="Arial"/>
        </w:rPr>
      </w:pPr>
      <w:r w:rsidRPr="000D29EF">
        <w:rPr>
          <w:rFonts w:ascii="Arial" w:hAnsi="Arial" w:cs="Arial"/>
          <w:b/>
          <w:bCs/>
        </w:rPr>
        <w:t>Condiciones de empleo inadecuado:</w:t>
      </w:r>
      <w:r w:rsidRPr="000D29EF">
        <w:rPr>
          <w:rFonts w:ascii="Arial" w:hAnsi="Arial" w:cs="Arial"/>
          <w:bCs/>
        </w:rPr>
        <w:t xml:space="preserve"> Por competencias, por ingresos.</w:t>
      </w:r>
    </w:p>
    <w:p w:rsidR="00E778E4" w:rsidRPr="000D29EF" w:rsidRDefault="00E778E4" w:rsidP="00E778E4">
      <w:pPr>
        <w:spacing w:line="276" w:lineRule="auto"/>
        <w:jc w:val="both"/>
        <w:rPr>
          <w:rFonts w:ascii="Arial" w:hAnsi="Arial" w:cs="Arial"/>
        </w:rPr>
      </w:pPr>
      <w:bookmarkStart w:id="241" w:name="_Toc385838226"/>
      <w:r w:rsidRPr="000D29EF">
        <w:rPr>
          <w:rStyle w:val="Textoennegrita"/>
          <w:rFonts w:ascii="Arial" w:hAnsi="Arial" w:cs="Arial"/>
        </w:rPr>
        <w:t>Tasa de Analfabetismo adulto: Porcentaje</w:t>
      </w:r>
      <w:r w:rsidRPr="000D29EF">
        <w:rPr>
          <w:rFonts w:ascii="Arial" w:hAnsi="Arial" w:cs="Arial"/>
        </w:rPr>
        <w:t xml:space="preserve"> de la población de quince años o más de edad que no sabe leer ni escribir.</w:t>
      </w:r>
      <w:bookmarkEnd w:id="241"/>
    </w:p>
    <w:p w:rsidR="00E778E4" w:rsidRDefault="00E778E4" w:rsidP="00E778E4">
      <w:pPr>
        <w:spacing w:line="276" w:lineRule="auto"/>
        <w:jc w:val="both"/>
        <w:rPr>
          <w:rStyle w:val="Textoennegrita"/>
          <w:rFonts w:ascii="Arial" w:hAnsi="Arial" w:cs="Arial"/>
        </w:rPr>
      </w:pPr>
      <w:bookmarkStart w:id="242" w:name="_Toc385838227"/>
    </w:p>
    <w:p w:rsidR="00E778E4" w:rsidRPr="000D29EF" w:rsidRDefault="00E778E4" w:rsidP="00E778E4">
      <w:pPr>
        <w:spacing w:line="276" w:lineRule="auto"/>
        <w:jc w:val="both"/>
        <w:rPr>
          <w:rFonts w:ascii="Arial" w:hAnsi="Arial" w:cs="Arial"/>
        </w:rPr>
      </w:pPr>
      <w:r w:rsidRPr="000D29EF">
        <w:rPr>
          <w:rStyle w:val="Textoennegrita"/>
          <w:rFonts w:ascii="Arial" w:hAnsi="Arial" w:cs="Arial"/>
        </w:rPr>
        <w:t>Tasa de Analfabetismo joven</w:t>
      </w:r>
      <w:r w:rsidRPr="000D29EF">
        <w:rPr>
          <w:rStyle w:val="apple-converted-space"/>
          <w:rFonts w:ascii="Arial" w:hAnsi="Arial" w:cs="Arial"/>
        </w:rPr>
        <w:t>: P</w:t>
      </w:r>
      <w:r w:rsidRPr="000D29EF">
        <w:rPr>
          <w:rFonts w:ascii="Arial" w:hAnsi="Arial" w:cs="Arial"/>
        </w:rPr>
        <w:t>orcentaje de la población entre quince y veinticuatro años de edad que no sabe leer ni escribir.</w:t>
      </w:r>
      <w:bookmarkEnd w:id="242"/>
      <w:r w:rsidRPr="000D29EF">
        <w:rPr>
          <w:rFonts w:ascii="Arial" w:hAnsi="Arial" w:cs="Arial"/>
        </w:rPr>
        <w:t xml:space="preserve"> </w:t>
      </w:r>
    </w:p>
    <w:p w:rsidR="00E778E4" w:rsidRDefault="00E778E4" w:rsidP="00E778E4">
      <w:pPr>
        <w:autoSpaceDE w:val="0"/>
        <w:autoSpaceDN w:val="0"/>
        <w:adjustRightInd w:val="0"/>
        <w:spacing w:line="276" w:lineRule="auto"/>
        <w:jc w:val="both"/>
        <w:rPr>
          <w:rFonts w:ascii="Arial" w:hAnsi="Arial" w:cs="Arial"/>
          <w:b/>
        </w:rPr>
      </w:pPr>
    </w:p>
    <w:p w:rsidR="00E778E4" w:rsidRPr="000D29EF" w:rsidRDefault="00E778E4" w:rsidP="00E778E4">
      <w:pPr>
        <w:autoSpaceDE w:val="0"/>
        <w:autoSpaceDN w:val="0"/>
        <w:adjustRightInd w:val="0"/>
        <w:spacing w:line="276" w:lineRule="auto"/>
        <w:jc w:val="both"/>
        <w:rPr>
          <w:rFonts w:ascii="Arial" w:hAnsi="Arial" w:cs="Arial"/>
        </w:rPr>
      </w:pPr>
      <w:r w:rsidRPr="000D29EF">
        <w:rPr>
          <w:rFonts w:ascii="Arial" w:hAnsi="Arial" w:cs="Arial"/>
          <w:b/>
        </w:rPr>
        <w:t>La tasa de cobertura bruta nivel:</w:t>
      </w:r>
      <w:r w:rsidRPr="000D29EF">
        <w:rPr>
          <w:rFonts w:ascii="Arial" w:hAnsi="Arial" w:cs="Arial"/>
        </w:rPr>
        <w:t xml:space="preserve"> es relación porcentual entre los alumnos matriculados en un nivel de enseñanza específico (independiente de la edad que tengan) y la población escolar que tiene la edad apropiada para cursar dicho nivel.</w:t>
      </w:r>
    </w:p>
    <w:p w:rsidR="00E778E4" w:rsidRPr="000D29EF" w:rsidRDefault="00E778E4" w:rsidP="00E778E4">
      <w:pPr>
        <w:autoSpaceDE w:val="0"/>
        <w:autoSpaceDN w:val="0"/>
        <w:adjustRightInd w:val="0"/>
        <w:spacing w:line="276" w:lineRule="auto"/>
        <w:jc w:val="both"/>
        <w:rPr>
          <w:rFonts w:ascii="Arial" w:hAnsi="Arial" w:cs="Arial"/>
        </w:rPr>
      </w:pPr>
    </w:p>
    <w:p w:rsidR="00E778E4" w:rsidRPr="000D29EF" w:rsidRDefault="00E778E4" w:rsidP="00E778E4">
      <w:pPr>
        <w:autoSpaceDE w:val="0"/>
        <w:autoSpaceDN w:val="0"/>
        <w:adjustRightInd w:val="0"/>
        <w:spacing w:line="276" w:lineRule="auto"/>
        <w:jc w:val="both"/>
        <w:rPr>
          <w:rFonts w:ascii="Arial" w:hAnsi="Arial" w:cs="Arial"/>
        </w:rPr>
      </w:pPr>
      <w:r w:rsidRPr="000D29EF">
        <w:rPr>
          <w:rFonts w:ascii="Arial" w:hAnsi="Arial" w:cs="Arial"/>
          <w:b/>
        </w:rPr>
        <w:t>Tasa de cobertura neta nivel</w:t>
      </w:r>
      <w:r w:rsidRPr="000D29EF">
        <w:rPr>
          <w:rFonts w:ascii="Arial" w:hAnsi="Arial" w:cs="Arial"/>
        </w:rPr>
        <w:t>: es la relación ente estudiantes matriculados en un nivel educativo que tienen la edad adecuada para cursarlo y el total de la población en el rango de edad apropiado para dicho nivel. Por nivel educativo este indicador se calcula de la siguiente manera.</w:t>
      </w:r>
    </w:p>
    <w:p w:rsidR="00E778E4" w:rsidRPr="000D29EF" w:rsidRDefault="00E778E4" w:rsidP="00E778E4">
      <w:pPr>
        <w:autoSpaceDE w:val="0"/>
        <w:autoSpaceDN w:val="0"/>
        <w:adjustRightInd w:val="0"/>
        <w:spacing w:line="276" w:lineRule="auto"/>
        <w:jc w:val="both"/>
        <w:rPr>
          <w:rFonts w:ascii="Arial" w:hAnsi="Arial" w:cs="Arial"/>
        </w:rPr>
      </w:pP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Tasa de crecimiento anual media exponencial</w:t>
      </w:r>
      <w:r w:rsidRPr="000D29EF">
        <w:rPr>
          <w:rFonts w:ascii="Arial" w:hAnsi="Arial" w:cs="Arial"/>
          <w:bCs/>
        </w:rPr>
        <w:t>:</w:t>
      </w:r>
      <w:r w:rsidRPr="000D29EF">
        <w:rPr>
          <w:rFonts w:ascii="Arial" w:hAnsi="Arial" w:cs="Arial"/>
        </w:rPr>
        <w:t> expresa el ritmo de crecimiento de una población que crece conforme a una ley exponencial en función del tiempo.</w:t>
      </w:r>
    </w:p>
    <w:p w:rsidR="00E778E4" w:rsidRPr="000D29EF" w:rsidRDefault="00E778E4" w:rsidP="00E778E4">
      <w:pPr>
        <w:shd w:val="clear" w:color="auto" w:fill="FFFFFF"/>
        <w:spacing w:after="324" w:line="276" w:lineRule="auto"/>
        <w:jc w:val="both"/>
        <w:rPr>
          <w:rFonts w:ascii="Arial" w:hAnsi="Arial" w:cs="Arial"/>
          <w:bCs/>
        </w:rPr>
      </w:pPr>
      <w:r w:rsidRPr="000D29EF">
        <w:rPr>
          <w:rFonts w:ascii="Arial" w:hAnsi="Arial" w:cs="Arial"/>
          <w:b/>
          <w:bCs/>
        </w:rPr>
        <w:t>Tasa de desempleo (TD):</w:t>
      </w:r>
      <w:r w:rsidRPr="000D29EF">
        <w:rPr>
          <w:rFonts w:ascii="Arial" w:hAnsi="Arial" w:cs="Arial"/>
          <w:bCs/>
        </w:rPr>
        <w:t xml:space="preserve"> Es la relación porcentual entre el número de personas que están buscando trabajo (DS), y el número de personas que integran la fuerza laboral (PEA).</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rPr>
        <w:t>Tasa de Desempleo Subjetivo:</w:t>
      </w:r>
      <w:r w:rsidRPr="000D29EF">
        <w:rPr>
          <w:rFonts w:ascii="Arial" w:hAnsi="Arial" w:cs="Arial"/>
        </w:rPr>
        <w:t xml:space="preserve"> es la proporción de población que desea cambiar de trabajo, bien sea por el bajo número de horas trabajadas o por la mejora de la calidad del trabajo, respecto de la fuerza laboral total.</w:t>
      </w:r>
    </w:p>
    <w:p w:rsidR="00E778E4" w:rsidRPr="000D29EF" w:rsidRDefault="00E778E4" w:rsidP="00E778E4">
      <w:pPr>
        <w:shd w:val="clear" w:color="auto" w:fill="FFFFFF"/>
        <w:spacing w:after="324" w:line="276" w:lineRule="auto"/>
        <w:jc w:val="both"/>
        <w:rPr>
          <w:rFonts w:ascii="Arial" w:hAnsi="Arial" w:cs="Arial"/>
          <w:bCs/>
        </w:rPr>
      </w:pPr>
      <w:r w:rsidRPr="000D29EF">
        <w:rPr>
          <w:rFonts w:ascii="Arial" w:hAnsi="Arial" w:cs="Arial"/>
          <w:b/>
          <w:bCs/>
        </w:rPr>
        <w:t>Tasa de ocupación (TO):</w:t>
      </w:r>
      <w:r w:rsidRPr="000D29EF">
        <w:rPr>
          <w:rFonts w:ascii="Arial" w:hAnsi="Arial" w:cs="Arial"/>
          <w:bCs/>
        </w:rPr>
        <w:t xml:space="preserve"> Es la relación porcentual entre la población ocupada (OC) y el número de personas que integran la población en edad de trabajar (PET).</w:t>
      </w:r>
    </w:p>
    <w:p w:rsidR="00E778E4" w:rsidRPr="000D29EF" w:rsidRDefault="00E778E4" w:rsidP="00E778E4">
      <w:pPr>
        <w:shd w:val="clear" w:color="auto" w:fill="FFFFFF"/>
        <w:spacing w:after="324" w:line="276" w:lineRule="auto"/>
        <w:jc w:val="both"/>
        <w:rPr>
          <w:rFonts w:ascii="Arial" w:hAnsi="Arial" w:cs="Arial"/>
          <w:bCs/>
        </w:rPr>
      </w:pPr>
      <w:r w:rsidRPr="000D29EF">
        <w:rPr>
          <w:rFonts w:ascii="Arial" w:hAnsi="Arial" w:cs="Arial"/>
          <w:b/>
          <w:bCs/>
        </w:rPr>
        <w:t xml:space="preserve">Tasa de subempleo (TS): </w:t>
      </w:r>
      <w:r w:rsidRPr="000D29EF">
        <w:rPr>
          <w:rFonts w:ascii="Arial" w:hAnsi="Arial" w:cs="Arial"/>
          <w:bCs/>
        </w:rPr>
        <w:t>Es la relación porcentual de la población ocupada que manifestó querer y poder trabajar más horas a la semana (PS) y el número de personas que integran la fuerza laboral (PEA).</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lastRenderedPageBreak/>
        <w:t>Tasa de trabajo infantil:</w:t>
      </w:r>
      <w:r w:rsidRPr="000D29EF">
        <w:rPr>
          <w:rFonts w:ascii="Arial" w:hAnsi="Arial" w:cs="Arial"/>
          <w:bCs/>
        </w:rPr>
        <w:t xml:space="preserve"> es la relación entre los niños, niñas y adolescentes de 5 a 17 años de edad, que trabajan, con respecto a la población total en este grupo de edad, por 100.</w:t>
      </w:r>
    </w:p>
    <w:p w:rsidR="00E778E4" w:rsidRPr="000D29EF" w:rsidRDefault="00E778E4" w:rsidP="00E778E4">
      <w:pPr>
        <w:shd w:val="clear" w:color="auto" w:fill="FFFFFF"/>
        <w:spacing w:after="324" w:line="276" w:lineRule="auto"/>
        <w:jc w:val="both"/>
        <w:rPr>
          <w:rFonts w:ascii="Arial" w:hAnsi="Arial" w:cs="Arial"/>
        </w:rPr>
      </w:pPr>
      <w:r w:rsidRPr="000D29EF">
        <w:rPr>
          <w:rFonts w:ascii="Arial" w:hAnsi="Arial" w:cs="Arial"/>
          <w:b/>
          <w:bCs/>
        </w:rPr>
        <w:t>Tasa de trabajo infantil ampliada (por oficios del hogar):</w:t>
      </w:r>
      <w:r w:rsidRPr="000D29EF">
        <w:rPr>
          <w:rFonts w:ascii="Arial" w:hAnsi="Arial" w:cs="Arial"/>
          <w:bCs/>
        </w:rPr>
        <w:t xml:space="preserve"> es la relación entre los niños, niñas y adolescentes de 5 a 17 años de edad, que trabajan más los que se dedican a oficios del hogar por 15 horas y más a la semana y no trabajan, con respecto a la población total en este grupo de edad, por 100.</w:t>
      </w:r>
    </w:p>
    <w:p w:rsidR="00E778E4" w:rsidRPr="000D29EF" w:rsidRDefault="00E778E4" w:rsidP="00E778E4">
      <w:pPr>
        <w:spacing w:line="276" w:lineRule="auto"/>
        <w:jc w:val="both"/>
        <w:rPr>
          <w:rFonts w:ascii="Arial" w:hAnsi="Arial" w:cs="Arial"/>
          <w:bCs/>
        </w:rPr>
      </w:pPr>
      <w:r w:rsidRPr="000D29EF">
        <w:rPr>
          <w:rFonts w:ascii="Arial" w:hAnsi="Arial" w:cs="Arial"/>
          <w:b/>
          <w:bCs/>
        </w:rPr>
        <w:t>Tasa global de participación (TGP):</w:t>
      </w:r>
      <w:r w:rsidRPr="000D29EF">
        <w:rPr>
          <w:rFonts w:ascii="Arial" w:hAnsi="Arial" w:cs="Arial"/>
          <w:bCs/>
        </w:rPr>
        <w:t xml:space="preserve"> Es la relación porcentual entre la población económicamente activa y la población en edad de trabajar. Este indicador refleja la presión de la población en edad de trabajar sobre el mercado laboral.</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rPr>
      </w:pPr>
      <w:r w:rsidRPr="000D29EF">
        <w:rPr>
          <w:rFonts w:ascii="Arial" w:hAnsi="Arial" w:cs="Arial"/>
          <w:b/>
        </w:rPr>
        <w:t>Tejido empresarial:</w:t>
      </w:r>
      <w:r w:rsidRPr="000D29EF">
        <w:rPr>
          <w:rFonts w:ascii="Arial" w:hAnsi="Arial" w:cs="Arial"/>
        </w:rPr>
        <w:t xml:space="preserve"> Es el conjunto de microempresas (de 0 a 9 trabajadores), pequeñas empresas (de 10 a 49 trabajadores), medianas (de 50 a 199 empleados) y grandes empresas (más de 200 empleados). </w:t>
      </w:r>
    </w:p>
    <w:p w:rsidR="00E778E4" w:rsidRDefault="00E778E4" w:rsidP="00E778E4">
      <w:pPr>
        <w:shd w:val="clear" w:color="auto" w:fill="FFFFFF"/>
        <w:spacing w:line="276" w:lineRule="auto"/>
        <w:jc w:val="both"/>
        <w:rPr>
          <w:rFonts w:ascii="Arial" w:hAnsi="Arial" w:cs="Arial"/>
          <w:b/>
          <w:bCs/>
        </w:rPr>
      </w:pPr>
    </w:p>
    <w:p w:rsidR="00E778E4" w:rsidRPr="000D29EF" w:rsidRDefault="00E778E4" w:rsidP="00E778E4">
      <w:pPr>
        <w:shd w:val="clear" w:color="auto" w:fill="FFFFFF"/>
        <w:spacing w:line="276" w:lineRule="auto"/>
        <w:jc w:val="both"/>
        <w:rPr>
          <w:rFonts w:ascii="Arial" w:hAnsi="Arial" w:cs="Arial"/>
        </w:rPr>
      </w:pPr>
      <w:r w:rsidRPr="000D29EF">
        <w:rPr>
          <w:rFonts w:ascii="Arial" w:hAnsi="Arial" w:cs="Arial"/>
          <w:b/>
          <w:bCs/>
        </w:rPr>
        <w:t>Trabajo infantil:</w:t>
      </w:r>
      <w:r w:rsidRPr="000D29EF">
        <w:rPr>
          <w:rFonts w:ascii="Arial" w:hAnsi="Arial" w:cs="Arial"/>
          <w:bCs/>
        </w:rPr>
        <w:t xml:space="preserve"> toda actividad de comercialización, producción, transformación, distribución o venta de bienes </w:t>
      </w:r>
      <w:proofErr w:type="spellStart"/>
      <w:r w:rsidRPr="000D29EF">
        <w:rPr>
          <w:rFonts w:ascii="Arial" w:hAnsi="Arial" w:cs="Arial"/>
          <w:bCs/>
        </w:rPr>
        <w:t>ó</w:t>
      </w:r>
      <w:proofErr w:type="spellEnd"/>
      <w:r w:rsidRPr="000D29EF">
        <w:rPr>
          <w:rFonts w:ascii="Arial" w:hAnsi="Arial" w:cs="Arial"/>
          <w:bCs/>
        </w:rPr>
        <w:t xml:space="preserve"> servicios, remunerada o no, realizada en forma independiente o al servicio de otra persona natural o jurídica, por personas que no han cumplido los 18 años de edad.</w:t>
      </w:r>
    </w:p>
    <w:p w:rsidR="00E778E4" w:rsidRDefault="00E778E4" w:rsidP="00E778E4">
      <w:pPr>
        <w:spacing w:line="276" w:lineRule="auto"/>
        <w:jc w:val="both"/>
        <w:rPr>
          <w:rFonts w:ascii="Arial" w:hAnsi="Arial" w:cs="Arial"/>
          <w:b/>
          <w:bCs/>
        </w:rPr>
      </w:pPr>
    </w:p>
    <w:p w:rsidR="00E778E4" w:rsidRPr="000D29EF" w:rsidRDefault="00E778E4" w:rsidP="00E778E4">
      <w:pPr>
        <w:spacing w:line="276" w:lineRule="auto"/>
        <w:jc w:val="both"/>
        <w:rPr>
          <w:rFonts w:ascii="Arial" w:hAnsi="Arial" w:cs="Arial"/>
        </w:rPr>
      </w:pPr>
      <w:r w:rsidRPr="000D29EF">
        <w:rPr>
          <w:rFonts w:ascii="Arial" w:hAnsi="Arial" w:cs="Arial"/>
          <w:b/>
          <w:bCs/>
        </w:rPr>
        <w:t>Unidad de Gasto:</w:t>
      </w:r>
      <w:r w:rsidRPr="000D29EF">
        <w:rPr>
          <w:rFonts w:ascii="Arial" w:hAnsi="Arial" w:cs="Arial"/>
        </w:rPr>
        <w:t> se considera como tal a la persona que atiende sus propios gastos, o al grupo de personas que comparten la vivienda y tienen arreglos para satisfacer en común sus necesidades esenciales (gastos de alimentación, servicios de la vivienda, equipamiento y otros gastos del hogar). No hacen parte de la unidad de gasto el pensionista ni los empleados domésticos y sus hijos, a cuyas personas se les considera miembros del hogar pero no se les toma información de gastos.</w:t>
      </w:r>
    </w:p>
    <w:p w:rsidR="00E778E4" w:rsidRDefault="00E778E4" w:rsidP="00E778E4">
      <w:pPr>
        <w:spacing w:line="276" w:lineRule="auto"/>
        <w:jc w:val="both"/>
        <w:rPr>
          <w:rFonts w:ascii="Arial" w:hAnsi="Arial" w:cs="Arial"/>
          <w:b/>
        </w:rPr>
      </w:pPr>
    </w:p>
    <w:p w:rsidR="00E778E4" w:rsidRPr="000D29EF" w:rsidRDefault="00E778E4" w:rsidP="00E778E4">
      <w:pPr>
        <w:spacing w:line="276" w:lineRule="auto"/>
        <w:jc w:val="both"/>
        <w:rPr>
          <w:rFonts w:ascii="Arial" w:hAnsi="Arial" w:cs="Arial"/>
          <w:b/>
        </w:rPr>
      </w:pPr>
      <w:r w:rsidRPr="000D29EF">
        <w:rPr>
          <w:rFonts w:ascii="Arial" w:hAnsi="Arial" w:cs="Arial"/>
          <w:b/>
        </w:rPr>
        <w:t>Valor agregado:</w:t>
      </w:r>
      <w:r w:rsidRPr="000D29EF">
        <w:rPr>
          <w:rFonts w:ascii="Arial" w:hAnsi="Arial" w:cs="Arial"/>
        </w:rPr>
        <w:t xml:space="preserve"> es el valor adicional creado en el proceso productivo gracias a la combinación de factores. Se calcula como la diferencia entre el valor de la producción bruta y el consumo intermedio.</w:t>
      </w:r>
    </w:p>
    <w:p w:rsidR="00E778E4" w:rsidRPr="000D29EF" w:rsidRDefault="00E778E4" w:rsidP="00E778E4">
      <w:pPr>
        <w:spacing w:line="276" w:lineRule="auto"/>
        <w:jc w:val="both"/>
        <w:rPr>
          <w:rFonts w:ascii="Arial" w:hAnsi="Arial" w:cs="Arial"/>
        </w:rPr>
      </w:pPr>
    </w:p>
    <w:p w:rsidR="00E778E4" w:rsidRPr="006E2D80" w:rsidRDefault="00E778E4" w:rsidP="00E778E4">
      <w:pPr>
        <w:spacing w:line="276" w:lineRule="auto"/>
      </w:pPr>
    </w:p>
    <w:p w:rsidR="00E778E4" w:rsidRPr="00E778E4" w:rsidRDefault="00E778E4" w:rsidP="00E778E4">
      <w:pPr>
        <w:autoSpaceDE w:val="0"/>
        <w:autoSpaceDN w:val="0"/>
        <w:adjustRightInd w:val="0"/>
        <w:spacing w:line="276" w:lineRule="auto"/>
        <w:jc w:val="both"/>
        <w:rPr>
          <w:rFonts w:ascii="Arial" w:hAnsi="Arial" w:cs="Arial"/>
        </w:rPr>
      </w:pPr>
    </w:p>
    <w:sectPr w:rsidR="00E778E4" w:rsidRPr="00E778E4" w:rsidSect="001F348B">
      <w:pgSz w:w="11900" w:h="16840"/>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6" w:author="Carlos Parra" w:date="2014-06-04T17:30:00Z" w:initials="CP">
    <w:p w:rsidR="00661885" w:rsidRDefault="00661885">
      <w:pPr>
        <w:pStyle w:val="Textocomentario"/>
      </w:pPr>
      <w:r>
        <w:rPr>
          <w:rStyle w:val="Refdecomentario"/>
        </w:rPr>
        <w:annotationRef/>
      </w:r>
      <w:r>
        <w:t>Este proyecto se incluirá en una ficha aparte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E74" w:rsidRDefault="00DC6E74" w:rsidP="006772D4">
      <w:r>
        <w:separator/>
      </w:r>
    </w:p>
  </w:endnote>
  <w:endnote w:type="continuationSeparator" w:id="0">
    <w:p w:rsidR="00DC6E74" w:rsidRDefault="00DC6E74" w:rsidP="0067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8979"/>
      <w:docPartObj>
        <w:docPartGallery w:val="Page Numbers (Bottom of Page)"/>
        <w:docPartUnique/>
      </w:docPartObj>
    </w:sdtPr>
    <w:sdtContent>
      <w:p w:rsidR="00661885" w:rsidRDefault="00661885">
        <w:pPr>
          <w:pStyle w:val="Piedepgina"/>
          <w:jc w:val="center"/>
        </w:pPr>
        <w:r>
          <w:fldChar w:fldCharType="begin"/>
        </w:r>
        <w:r>
          <w:instrText xml:space="preserve"> PAGE   \* MERGEFORMAT </w:instrText>
        </w:r>
        <w:r>
          <w:fldChar w:fldCharType="separate"/>
        </w:r>
        <w:r w:rsidR="000D2C52">
          <w:rPr>
            <w:noProof/>
          </w:rPr>
          <w:t>1</w:t>
        </w:r>
        <w:r>
          <w:rPr>
            <w:noProof/>
          </w:rPr>
          <w:fldChar w:fldCharType="end"/>
        </w:r>
      </w:p>
    </w:sdtContent>
  </w:sdt>
  <w:p w:rsidR="00661885" w:rsidRDefault="006618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E74" w:rsidRDefault="00DC6E74" w:rsidP="006772D4">
      <w:r>
        <w:separator/>
      </w:r>
    </w:p>
  </w:footnote>
  <w:footnote w:type="continuationSeparator" w:id="0">
    <w:p w:rsidR="00DC6E74" w:rsidRDefault="00DC6E74" w:rsidP="006772D4">
      <w:r>
        <w:continuationSeparator/>
      </w:r>
    </w:p>
  </w:footnote>
  <w:footnote w:id="1">
    <w:p w:rsidR="00661885" w:rsidRPr="00061BF9" w:rsidRDefault="00661885" w:rsidP="00B75C85">
      <w:pPr>
        <w:pStyle w:val="Textonotapie"/>
        <w:jc w:val="both"/>
        <w:rPr>
          <w:rFonts w:ascii="Arial" w:hAnsi="Arial" w:cs="Arial"/>
        </w:rPr>
      </w:pPr>
      <w:r>
        <w:rPr>
          <w:rStyle w:val="Refdenotaalpie"/>
        </w:rPr>
        <w:footnoteRef/>
      </w:r>
      <w:r>
        <w:t xml:space="preserve"> </w:t>
      </w:r>
      <w:r w:rsidRPr="00061BF9">
        <w:rPr>
          <w:rFonts w:ascii="Arial" w:hAnsi="Arial" w:cs="Arial"/>
        </w:rPr>
        <w:t xml:space="preserve">Esta expresión se obtiene a partir de  tasa global de participación, </w:t>
      </w:r>
      <w:proofErr w:type="spellStart"/>
      <w:r w:rsidRPr="00061BF9">
        <w:rPr>
          <w:rFonts w:ascii="Arial" w:hAnsi="Arial" w:cs="Arial"/>
        </w:rPr>
        <w:t>TGP</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PEA</w:t>
      </w:r>
      <w:r w:rsidRPr="00061BF9">
        <w:rPr>
          <w:rFonts w:ascii="Arial" w:hAnsi="Arial" w:cs="Arial"/>
          <w:vertAlign w:val="subscript"/>
        </w:rPr>
        <w:t>t</w:t>
      </w:r>
      <w:proofErr w:type="spellEnd"/>
      <w:r w:rsidRPr="00061BF9">
        <w:rPr>
          <w:rFonts w:ascii="Arial" w:hAnsi="Arial" w:cs="Arial"/>
        </w:rPr>
        <w:t>/</w:t>
      </w:r>
      <w:proofErr w:type="spellStart"/>
      <w:proofErr w:type="gramStart"/>
      <w:r w:rsidRPr="00061BF9">
        <w:rPr>
          <w:rFonts w:ascii="Arial" w:hAnsi="Arial" w:cs="Arial"/>
        </w:rPr>
        <w:t>PET</w:t>
      </w:r>
      <w:r w:rsidRPr="00061BF9">
        <w:rPr>
          <w:rFonts w:ascii="Arial" w:hAnsi="Arial" w:cs="Arial"/>
          <w:vertAlign w:val="subscript"/>
        </w:rPr>
        <w:t>t</w:t>
      </w:r>
      <w:proofErr w:type="spellEnd"/>
      <w:r w:rsidRPr="00061BF9">
        <w:rPr>
          <w:rFonts w:ascii="Arial" w:hAnsi="Arial" w:cs="Arial"/>
          <w:vertAlign w:val="subscript"/>
        </w:rPr>
        <w:t xml:space="preserve"> </w:t>
      </w:r>
      <w:r w:rsidRPr="00061BF9">
        <w:rPr>
          <w:rFonts w:ascii="Arial" w:hAnsi="Arial" w:cs="Arial"/>
        </w:rPr>
        <w:t>,</w:t>
      </w:r>
      <w:proofErr w:type="gramEnd"/>
      <w:r w:rsidRPr="00061BF9">
        <w:rPr>
          <w:rFonts w:ascii="Arial" w:hAnsi="Arial" w:cs="Arial"/>
        </w:rPr>
        <w:t xml:space="preserve"> medida en el momento t, de tal manera que </w:t>
      </w:r>
      <w:proofErr w:type="spellStart"/>
      <w:r w:rsidRPr="00061BF9">
        <w:rPr>
          <w:rFonts w:ascii="Arial" w:hAnsi="Arial" w:cs="Arial"/>
        </w:rPr>
        <w:t>PEA</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TGP</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PET</w:t>
      </w:r>
      <w:r w:rsidRPr="00061BF9">
        <w:rPr>
          <w:rFonts w:ascii="Arial" w:hAnsi="Arial" w:cs="Arial"/>
          <w:vertAlign w:val="subscript"/>
        </w:rPr>
        <w:t>t</w:t>
      </w:r>
      <w:proofErr w:type="spellEnd"/>
      <w:r w:rsidRPr="00061BF9">
        <w:rPr>
          <w:rFonts w:ascii="Arial" w:hAnsi="Arial" w:cs="Arial"/>
        </w:rPr>
        <w:t xml:space="preserve">, y como </w:t>
      </w:r>
      <w:proofErr w:type="spellStart"/>
      <w:r w:rsidRPr="00061BF9">
        <w:rPr>
          <w:rFonts w:ascii="Arial" w:hAnsi="Arial" w:cs="Arial"/>
        </w:rPr>
        <w:t>PEA</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D</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O</w:t>
      </w:r>
      <w:r w:rsidRPr="00061BF9">
        <w:rPr>
          <w:rFonts w:ascii="Arial" w:hAnsi="Arial" w:cs="Arial"/>
          <w:vertAlign w:val="subscript"/>
        </w:rPr>
        <w:t>t</w:t>
      </w:r>
      <w:proofErr w:type="spellEnd"/>
      <w:r w:rsidRPr="00061BF9">
        <w:rPr>
          <w:rFonts w:ascii="Arial" w:hAnsi="Arial" w:cs="Arial"/>
        </w:rPr>
        <w:t xml:space="preserve">, entonces </w:t>
      </w:r>
      <w:proofErr w:type="spellStart"/>
      <w:r w:rsidRPr="00061BF9">
        <w:rPr>
          <w:rFonts w:ascii="Arial" w:hAnsi="Arial" w:cs="Arial"/>
        </w:rPr>
        <w:t>D</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TGP</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PET</w:t>
      </w:r>
      <w:r w:rsidRPr="00061BF9">
        <w:rPr>
          <w:rFonts w:ascii="Arial" w:hAnsi="Arial" w:cs="Arial"/>
          <w:vertAlign w:val="subscript"/>
        </w:rPr>
        <w:t>t</w:t>
      </w:r>
      <w:proofErr w:type="spellEnd"/>
      <w:r w:rsidRPr="00061BF9">
        <w:rPr>
          <w:rFonts w:ascii="Arial" w:hAnsi="Arial" w:cs="Arial"/>
        </w:rPr>
        <w:t xml:space="preserve"> – </w:t>
      </w:r>
      <w:proofErr w:type="spellStart"/>
      <w:r w:rsidRPr="00061BF9">
        <w:rPr>
          <w:rFonts w:ascii="Arial" w:hAnsi="Arial" w:cs="Arial"/>
        </w:rPr>
        <w:t>O</w:t>
      </w:r>
      <w:r w:rsidRPr="00061BF9">
        <w:rPr>
          <w:rFonts w:ascii="Arial" w:hAnsi="Arial" w:cs="Arial"/>
          <w:vertAlign w:val="subscript"/>
        </w:rPr>
        <w:t>t</w:t>
      </w:r>
      <w:proofErr w:type="spellEnd"/>
      <w:r w:rsidRPr="00061BF9">
        <w:rPr>
          <w:rFonts w:ascii="Arial" w:hAnsi="Arial" w:cs="Arial"/>
        </w:rPr>
        <w:t>. Así, luego se obtiene el incremental total de la expresión, la cual descompone la variación del número de desocupados de un período a otro entre los efectos de oferta y demanda laboral.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70FC"/>
    <w:multiLevelType w:val="hybridMultilevel"/>
    <w:tmpl w:val="61489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FC23FF2"/>
    <w:multiLevelType w:val="hybridMultilevel"/>
    <w:tmpl w:val="A0AE9A86"/>
    <w:lvl w:ilvl="0" w:tplc="240A0001">
      <w:start w:val="1"/>
      <w:numFmt w:val="bullet"/>
      <w:lvlText w:val=""/>
      <w:lvlJc w:val="left"/>
      <w:pPr>
        <w:ind w:left="720" w:hanging="360"/>
      </w:pPr>
      <w:rPr>
        <w:rFonts w:ascii="Symbol" w:hAnsi="Symbol" w:hint="default"/>
      </w:rPr>
    </w:lvl>
    <w:lvl w:ilvl="1" w:tplc="CD8E5254">
      <w:start w:val="1"/>
      <w:numFmt w:val="lowerLetter"/>
      <w:lvlText w:val="%2)"/>
      <w:lvlJc w:val="left"/>
      <w:pPr>
        <w:ind w:left="1440" w:hanging="360"/>
      </w:pPr>
      <w:rPr>
        <w:rFonts w:ascii="Arial" w:hAnsi="Arial" w:cs="Arial"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2A32902"/>
    <w:multiLevelType w:val="hybridMultilevel"/>
    <w:tmpl w:val="F47008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5F5BA4"/>
    <w:multiLevelType w:val="hybridMultilevel"/>
    <w:tmpl w:val="CBF4D1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C75DE9"/>
    <w:multiLevelType w:val="hybridMultilevel"/>
    <w:tmpl w:val="B35412B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7694030"/>
    <w:multiLevelType w:val="hybridMultilevel"/>
    <w:tmpl w:val="46FA76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8F3ABF"/>
    <w:multiLevelType w:val="hybridMultilevel"/>
    <w:tmpl w:val="EE9EE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BAB27C2"/>
    <w:multiLevelType w:val="hybridMultilevel"/>
    <w:tmpl w:val="51BADD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D4C1C82"/>
    <w:multiLevelType w:val="multilevel"/>
    <w:tmpl w:val="3282296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DAC04E8"/>
    <w:multiLevelType w:val="hybridMultilevel"/>
    <w:tmpl w:val="06E82B44"/>
    <w:lvl w:ilvl="0" w:tplc="3022F964">
      <w:start w:val="1"/>
      <w:numFmt w:val="bullet"/>
      <w:lvlText w:val=""/>
      <w:lvlJc w:val="left"/>
      <w:pPr>
        <w:ind w:left="720" w:hanging="360"/>
      </w:pPr>
      <w:rPr>
        <w:rFonts w:ascii="Symbol" w:hAnsi="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E751919"/>
    <w:multiLevelType w:val="hybridMultilevel"/>
    <w:tmpl w:val="191244F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E7A75DF"/>
    <w:multiLevelType w:val="hybridMultilevel"/>
    <w:tmpl w:val="1C929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EBA6E6B"/>
    <w:multiLevelType w:val="hybridMultilevel"/>
    <w:tmpl w:val="23CA4EE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7A4686A"/>
    <w:multiLevelType w:val="hybridMultilevel"/>
    <w:tmpl w:val="F098B8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95561F6"/>
    <w:multiLevelType w:val="multilevel"/>
    <w:tmpl w:val="F56E0AE0"/>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E180253"/>
    <w:multiLevelType w:val="hybridMultilevel"/>
    <w:tmpl w:val="C7AEEA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374808B8"/>
    <w:multiLevelType w:val="hybridMultilevel"/>
    <w:tmpl w:val="62524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6DF25F2"/>
    <w:multiLevelType w:val="hybridMultilevel"/>
    <w:tmpl w:val="DE446CB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6F90DF1"/>
    <w:multiLevelType w:val="hybridMultilevel"/>
    <w:tmpl w:val="2A4280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C743256"/>
    <w:multiLevelType w:val="hybridMultilevel"/>
    <w:tmpl w:val="CB727DB0"/>
    <w:lvl w:ilvl="0" w:tplc="240A000F">
      <w:start w:val="1"/>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0BB62C4"/>
    <w:multiLevelType w:val="hybridMultilevel"/>
    <w:tmpl w:val="7BD63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5501BF1"/>
    <w:multiLevelType w:val="hybridMultilevel"/>
    <w:tmpl w:val="40C2CD8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57C90A2F"/>
    <w:multiLevelType w:val="hybridMultilevel"/>
    <w:tmpl w:val="A3429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9113BD0"/>
    <w:multiLevelType w:val="multilevel"/>
    <w:tmpl w:val="D172A406"/>
    <w:lvl w:ilvl="0">
      <w:start w:val="5"/>
      <w:numFmt w:val="decimal"/>
      <w:lvlText w:val="%1."/>
      <w:lvlJc w:val="left"/>
      <w:pPr>
        <w:ind w:left="360" w:hanging="360"/>
      </w:pPr>
      <w:rPr>
        <w:rFonts w:hint="default"/>
        <w:i w:val="0"/>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4">
    <w:nsid w:val="593E5D52"/>
    <w:multiLevelType w:val="hybridMultilevel"/>
    <w:tmpl w:val="2E8AC0DA"/>
    <w:lvl w:ilvl="0" w:tplc="DD56EBD6">
      <w:start w:val="1"/>
      <w:numFmt w:val="lowerLetter"/>
      <w:lvlText w:val="%1)"/>
      <w:lvlJc w:val="left"/>
      <w:pPr>
        <w:ind w:left="720" w:hanging="360"/>
      </w:pPr>
      <w:rPr>
        <w:rFonts w:ascii="Arial" w:eastAsia="Times New Roman" w:hAnsi="Arial" w:cs="Aria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5E193ADA"/>
    <w:multiLevelType w:val="hybridMultilevel"/>
    <w:tmpl w:val="16A6501A"/>
    <w:lvl w:ilvl="0" w:tplc="240A0001">
      <w:start w:val="1"/>
      <w:numFmt w:val="bullet"/>
      <w:lvlText w:val=""/>
      <w:lvlJc w:val="left"/>
      <w:pPr>
        <w:ind w:left="780" w:hanging="360"/>
      </w:pPr>
      <w:rPr>
        <w:rFonts w:ascii="Symbol" w:hAnsi="Symbol" w:hint="default"/>
      </w:rPr>
    </w:lvl>
    <w:lvl w:ilvl="1" w:tplc="240A0003">
      <w:start w:val="1"/>
      <w:numFmt w:val="bullet"/>
      <w:lvlText w:val="o"/>
      <w:lvlJc w:val="left"/>
      <w:pPr>
        <w:ind w:left="1500" w:hanging="360"/>
      </w:pPr>
      <w:rPr>
        <w:rFonts w:ascii="Courier New" w:hAnsi="Courier New" w:cs="Courier New" w:hint="default"/>
      </w:rPr>
    </w:lvl>
    <w:lvl w:ilvl="2" w:tplc="240A0005">
      <w:start w:val="1"/>
      <w:numFmt w:val="bullet"/>
      <w:lvlText w:val=""/>
      <w:lvlJc w:val="left"/>
      <w:pPr>
        <w:ind w:left="2220" w:hanging="360"/>
      </w:pPr>
      <w:rPr>
        <w:rFonts w:ascii="Wingdings" w:hAnsi="Wingdings" w:hint="default"/>
      </w:rPr>
    </w:lvl>
    <w:lvl w:ilvl="3" w:tplc="240A0001">
      <w:start w:val="1"/>
      <w:numFmt w:val="bullet"/>
      <w:lvlText w:val=""/>
      <w:lvlJc w:val="left"/>
      <w:pPr>
        <w:ind w:left="2940" w:hanging="360"/>
      </w:pPr>
      <w:rPr>
        <w:rFonts w:ascii="Symbol" w:hAnsi="Symbol" w:hint="default"/>
      </w:rPr>
    </w:lvl>
    <w:lvl w:ilvl="4" w:tplc="240A0003">
      <w:start w:val="1"/>
      <w:numFmt w:val="bullet"/>
      <w:lvlText w:val="o"/>
      <w:lvlJc w:val="left"/>
      <w:pPr>
        <w:ind w:left="3660" w:hanging="360"/>
      </w:pPr>
      <w:rPr>
        <w:rFonts w:ascii="Courier New" w:hAnsi="Courier New" w:cs="Courier New" w:hint="default"/>
      </w:rPr>
    </w:lvl>
    <w:lvl w:ilvl="5" w:tplc="240A0005">
      <w:start w:val="1"/>
      <w:numFmt w:val="bullet"/>
      <w:lvlText w:val=""/>
      <w:lvlJc w:val="left"/>
      <w:pPr>
        <w:ind w:left="4380" w:hanging="360"/>
      </w:pPr>
      <w:rPr>
        <w:rFonts w:ascii="Wingdings" w:hAnsi="Wingdings" w:hint="default"/>
      </w:rPr>
    </w:lvl>
    <w:lvl w:ilvl="6" w:tplc="240A0001">
      <w:start w:val="1"/>
      <w:numFmt w:val="bullet"/>
      <w:lvlText w:val=""/>
      <w:lvlJc w:val="left"/>
      <w:pPr>
        <w:ind w:left="5100" w:hanging="360"/>
      </w:pPr>
      <w:rPr>
        <w:rFonts w:ascii="Symbol" w:hAnsi="Symbol" w:hint="default"/>
      </w:rPr>
    </w:lvl>
    <w:lvl w:ilvl="7" w:tplc="240A0003">
      <w:start w:val="1"/>
      <w:numFmt w:val="bullet"/>
      <w:lvlText w:val="o"/>
      <w:lvlJc w:val="left"/>
      <w:pPr>
        <w:ind w:left="5820" w:hanging="360"/>
      </w:pPr>
      <w:rPr>
        <w:rFonts w:ascii="Courier New" w:hAnsi="Courier New" w:cs="Courier New" w:hint="default"/>
      </w:rPr>
    </w:lvl>
    <w:lvl w:ilvl="8" w:tplc="240A0005">
      <w:start w:val="1"/>
      <w:numFmt w:val="bullet"/>
      <w:lvlText w:val=""/>
      <w:lvlJc w:val="left"/>
      <w:pPr>
        <w:ind w:left="6540" w:hanging="360"/>
      </w:pPr>
      <w:rPr>
        <w:rFonts w:ascii="Wingdings" w:hAnsi="Wingdings" w:hint="default"/>
      </w:rPr>
    </w:lvl>
  </w:abstractNum>
  <w:abstractNum w:abstractNumId="26">
    <w:nsid w:val="5FC26669"/>
    <w:multiLevelType w:val="hybridMultilevel"/>
    <w:tmpl w:val="24621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1385A3E"/>
    <w:multiLevelType w:val="hybridMultilevel"/>
    <w:tmpl w:val="AA4000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2FE6581"/>
    <w:multiLevelType w:val="hybridMultilevel"/>
    <w:tmpl w:val="C2189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31D1741"/>
    <w:multiLevelType w:val="hybridMultilevel"/>
    <w:tmpl w:val="B4BE7BD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31F7528"/>
    <w:multiLevelType w:val="hybridMultilevel"/>
    <w:tmpl w:val="08061B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A131935"/>
    <w:multiLevelType w:val="hybridMultilevel"/>
    <w:tmpl w:val="93EC29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38164EE"/>
    <w:multiLevelType w:val="hybridMultilevel"/>
    <w:tmpl w:val="95C4F790"/>
    <w:lvl w:ilvl="0" w:tplc="5A109D7C">
      <w:start w:val="1"/>
      <w:numFmt w:val="decimal"/>
      <w:lvlText w:val="%1."/>
      <w:lvlJc w:val="left"/>
      <w:pPr>
        <w:ind w:left="1065" w:hanging="705"/>
      </w:pPr>
      <w:rPr>
        <w:rFonts w:hint="default"/>
      </w:rPr>
    </w:lvl>
    <w:lvl w:ilvl="1" w:tplc="1FAE997E">
      <w:start w:val="1"/>
      <w:numFmt w:val="lowerRoman"/>
      <w:lvlText w:val="%2."/>
      <w:lvlJc w:val="left"/>
      <w:pPr>
        <w:ind w:left="1800" w:hanging="72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6C116DA"/>
    <w:multiLevelType w:val="hybridMultilevel"/>
    <w:tmpl w:val="BEA8B4A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9090E30"/>
    <w:multiLevelType w:val="multilevel"/>
    <w:tmpl w:val="D7207D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CF101DA"/>
    <w:multiLevelType w:val="hybridMultilevel"/>
    <w:tmpl w:val="879268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D5A3AD7"/>
    <w:multiLevelType w:val="multilevel"/>
    <w:tmpl w:val="0B60AC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15"/>
  </w:num>
  <w:num w:numId="7">
    <w:abstractNumId w:val="31"/>
  </w:num>
  <w:num w:numId="8">
    <w:abstractNumId w:val="4"/>
  </w:num>
  <w:num w:numId="9">
    <w:abstractNumId w:val="25"/>
  </w:num>
  <w:num w:numId="10">
    <w:abstractNumId w:val="5"/>
  </w:num>
  <w:num w:numId="11">
    <w:abstractNumId w:val="32"/>
  </w:num>
  <w:num w:numId="12">
    <w:abstractNumId w:val="17"/>
  </w:num>
  <w:num w:numId="13">
    <w:abstractNumId w:val="10"/>
  </w:num>
  <w:num w:numId="14">
    <w:abstractNumId w:val="29"/>
  </w:num>
  <w:num w:numId="15">
    <w:abstractNumId w:val="35"/>
  </w:num>
  <w:num w:numId="16">
    <w:abstractNumId w:val="33"/>
  </w:num>
  <w:num w:numId="17">
    <w:abstractNumId w:val="26"/>
  </w:num>
  <w:num w:numId="18">
    <w:abstractNumId w:val="1"/>
  </w:num>
  <w:num w:numId="19">
    <w:abstractNumId w:val="12"/>
  </w:num>
  <w:num w:numId="20">
    <w:abstractNumId w:val="24"/>
  </w:num>
  <w:num w:numId="21">
    <w:abstractNumId w:val="22"/>
  </w:num>
  <w:num w:numId="22">
    <w:abstractNumId w:val="2"/>
  </w:num>
  <w:num w:numId="23">
    <w:abstractNumId w:val="28"/>
  </w:num>
  <w:num w:numId="24">
    <w:abstractNumId w:val="19"/>
  </w:num>
  <w:num w:numId="25">
    <w:abstractNumId w:val="7"/>
  </w:num>
  <w:num w:numId="26">
    <w:abstractNumId w:val="9"/>
  </w:num>
  <w:num w:numId="27">
    <w:abstractNumId w:val="8"/>
  </w:num>
  <w:num w:numId="28">
    <w:abstractNumId w:val="23"/>
  </w:num>
  <w:num w:numId="29">
    <w:abstractNumId w:val="21"/>
  </w:num>
  <w:num w:numId="30">
    <w:abstractNumId w:val="34"/>
  </w:num>
  <w:num w:numId="31">
    <w:abstractNumId w:val="18"/>
  </w:num>
  <w:num w:numId="32">
    <w:abstractNumId w:val="20"/>
  </w:num>
  <w:num w:numId="33">
    <w:abstractNumId w:val="13"/>
  </w:num>
  <w:num w:numId="34">
    <w:abstractNumId w:val="27"/>
  </w:num>
  <w:num w:numId="35">
    <w:abstractNumId w:val="30"/>
  </w:num>
  <w:num w:numId="36">
    <w:abstractNumId w:val="11"/>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AC"/>
    <w:rsid w:val="000145B6"/>
    <w:rsid w:val="000170E5"/>
    <w:rsid w:val="00045CA7"/>
    <w:rsid w:val="00046941"/>
    <w:rsid w:val="00050176"/>
    <w:rsid w:val="000501AB"/>
    <w:rsid w:val="0005113B"/>
    <w:rsid w:val="00056952"/>
    <w:rsid w:val="00057BDC"/>
    <w:rsid w:val="00061D26"/>
    <w:rsid w:val="000B1EC6"/>
    <w:rsid w:val="000C38EA"/>
    <w:rsid w:val="000C4E2E"/>
    <w:rsid w:val="000D2C52"/>
    <w:rsid w:val="000E1460"/>
    <w:rsid w:val="000E14A3"/>
    <w:rsid w:val="000E62F2"/>
    <w:rsid w:val="000E7ABC"/>
    <w:rsid w:val="00105D27"/>
    <w:rsid w:val="00112B2B"/>
    <w:rsid w:val="001259C6"/>
    <w:rsid w:val="001551D7"/>
    <w:rsid w:val="00166DC2"/>
    <w:rsid w:val="00167411"/>
    <w:rsid w:val="001A31FC"/>
    <w:rsid w:val="001B0468"/>
    <w:rsid w:val="001B1706"/>
    <w:rsid w:val="001C3814"/>
    <w:rsid w:val="001D7E55"/>
    <w:rsid w:val="001E6853"/>
    <w:rsid w:val="001E7CCA"/>
    <w:rsid w:val="001F348B"/>
    <w:rsid w:val="002047EF"/>
    <w:rsid w:val="00212C5E"/>
    <w:rsid w:val="00224C1F"/>
    <w:rsid w:val="00226B7D"/>
    <w:rsid w:val="00227852"/>
    <w:rsid w:val="00244AB4"/>
    <w:rsid w:val="00247FCF"/>
    <w:rsid w:val="00255779"/>
    <w:rsid w:val="002625E4"/>
    <w:rsid w:val="0026363C"/>
    <w:rsid w:val="002710BB"/>
    <w:rsid w:val="00274862"/>
    <w:rsid w:val="00276998"/>
    <w:rsid w:val="00277A46"/>
    <w:rsid w:val="00281FA2"/>
    <w:rsid w:val="002963C3"/>
    <w:rsid w:val="002C0982"/>
    <w:rsid w:val="002D45BF"/>
    <w:rsid w:val="002E3359"/>
    <w:rsid w:val="002F78D6"/>
    <w:rsid w:val="003062F0"/>
    <w:rsid w:val="00311396"/>
    <w:rsid w:val="00312652"/>
    <w:rsid w:val="0032593A"/>
    <w:rsid w:val="0036532C"/>
    <w:rsid w:val="00381869"/>
    <w:rsid w:val="003836CF"/>
    <w:rsid w:val="003A3E18"/>
    <w:rsid w:val="003B0F67"/>
    <w:rsid w:val="003B3201"/>
    <w:rsid w:val="003F0180"/>
    <w:rsid w:val="003F2820"/>
    <w:rsid w:val="003F64B3"/>
    <w:rsid w:val="004136C8"/>
    <w:rsid w:val="00427BC4"/>
    <w:rsid w:val="00440BB7"/>
    <w:rsid w:val="00445FB8"/>
    <w:rsid w:val="00452F94"/>
    <w:rsid w:val="00470496"/>
    <w:rsid w:val="00472361"/>
    <w:rsid w:val="004731DC"/>
    <w:rsid w:val="004804D8"/>
    <w:rsid w:val="00482FA9"/>
    <w:rsid w:val="004A38E2"/>
    <w:rsid w:val="004C76B7"/>
    <w:rsid w:val="004D7D3C"/>
    <w:rsid w:val="00503ECC"/>
    <w:rsid w:val="00510C3B"/>
    <w:rsid w:val="00521FC6"/>
    <w:rsid w:val="0053166E"/>
    <w:rsid w:val="00534E86"/>
    <w:rsid w:val="00535028"/>
    <w:rsid w:val="00535F75"/>
    <w:rsid w:val="00561826"/>
    <w:rsid w:val="00570699"/>
    <w:rsid w:val="005748AC"/>
    <w:rsid w:val="00574A7C"/>
    <w:rsid w:val="00574EF8"/>
    <w:rsid w:val="005E16CB"/>
    <w:rsid w:val="005F02F1"/>
    <w:rsid w:val="00601EF8"/>
    <w:rsid w:val="006233CF"/>
    <w:rsid w:val="0065270D"/>
    <w:rsid w:val="0065647E"/>
    <w:rsid w:val="00661885"/>
    <w:rsid w:val="006772D4"/>
    <w:rsid w:val="006A5E87"/>
    <w:rsid w:val="006B447B"/>
    <w:rsid w:val="006D50CD"/>
    <w:rsid w:val="006E1011"/>
    <w:rsid w:val="007000E0"/>
    <w:rsid w:val="00754E2C"/>
    <w:rsid w:val="007646BC"/>
    <w:rsid w:val="00796AAC"/>
    <w:rsid w:val="007A658C"/>
    <w:rsid w:val="007C555E"/>
    <w:rsid w:val="007F0212"/>
    <w:rsid w:val="00831101"/>
    <w:rsid w:val="00834EEB"/>
    <w:rsid w:val="008411F3"/>
    <w:rsid w:val="008624CC"/>
    <w:rsid w:val="008676F6"/>
    <w:rsid w:val="00870291"/>
    <w:rsid w:val="008759BA"/>
    <w:rsid w:val="00881A22"/>
    <w:rsid w:val="00891E53"/>
    <w:rsid w:val="00892AAA"/>
    <w:rsid w:val="008E34DF"/>
    <w:rsid w:val="008E7A57"/>
    <w:rsid w:val="008F72BF"/>
    <w:rsid w:val="009177DE"/>
    <w:rsid w:val="009351FC"/>
    <w:rsid w:val="0096433D"/>
    <w:rsid w:val="00983C84"/>
    <w:rsid w:val="00987907"/>
    <w:rsid w:val="009925FC"/>
    <w:rsid w:val="009B522B"/>
    <w:rsid w:val="009C084D"/>
    <w:rsid w:val="009D70D9"/>
    <w:rsid w:val="009E16E2"/>
    <w:rsid w:val="00A021C6"/>
    <w:rsid w:val="00A11B2B"/>
    <w:rsid w:val="00A20008"/>
    <w:rsid w:val="00A45478"/>
    <w:rsid w:val="00A5528B"/>
    <w:rsid w:val="00A61DBF"/>
    <w:rsid w:val="00A7771A"/>
    <w:rsid w:val="00A971BB"/>
    <w:rsid w:val="00A97D25"/>
    <w:rsid w:val="00AB6B39"/>
    <w:rsid w:val="00AD5878"/>
    <w:rsid w:val="00AE0ABC"/>
    <w:rsid w:val="00AE1F0E"/>
    <w:rsid w:val="00B60F12"/>
    <w:rsid w:val="00B712AE"/>
    <w:rsid w:val="00B75C85"/>
    <w:rsid w:val="00B93140"/>
    <w:rsid w:val="00BC4008"/>
    <w:rsid w:val="00BC7116"/>
    <w:rsid w:val="00BD4679"/>
    <w:rsid w:val="00C14F13"/>
    <w:rsid w:val="00C24023"/>
    <w:rsid w:val="00C34296"/>
    <w:rsid w:val="00C36F26"/>
    <w:rsid w:val="00C42128"/>
    <w:rsid w:val="00C45EC5"/>
    <w:rsid w:val="00C46070"/>
    <w:rsid w:val="00C540D4"/>
    <w:rsid w:val="00C567A7"/>
    <w:rsid w:val="00C74A77"/>
    <w:rsid w:val="00C840E3"/>
    <w:rsid w:val="00C86D1C"/>
    <w:rsid w:val="00C92C07"/>
    <w:rsid w:val="00CD57DF"/>
    <w:rsid w:val="00CE14CE"/>
    <w:rsid w:val="00D20818"/>
    <w:rsid w:val="00D60114"/>
    <w:rsid w:val="00D64B61"/>
    <w:rsid w:val="00D6540F"/>
    <w:rsid w:val="00D93E00"/>
    <w:rsid w:val="00D9744C"/>
    <w:rsid w:val="00DA21E7"/>
    <w:rsid w:val="00DC5DCD"/>
    <w:rsid w:val="00DC6E74"/>
    <w:rsid w:val="00DD43D1"/>
    <w:rsid w:val="00DF3FF3"/>
    <w:rsid w:val="00E10977"/>
    <w:rsid w:val="00E1318F"/>
    <w:rsid w:val="00E15176"/>
    <w:rsid w:val="00E154EB"/>
    <w:rsid w:val="00E22E6A"/>
    <w:rsid w:val="00E24284"/>
    <w:rsid w:val="00E25C7B"/>
    <w:rsid w:val="00E512C2"/>
    <w:rsid w:val="00E65CB9"/>
    <w:rsid w:val="00E778E4"/>
    <w:rsid w:val="00E942BE"/>
    <w:rsid w:val="00EA1AE0"/>
    <w:rsid w:val="00EB78DB"/>
    <w:rsid w:val="00EC18C0"/>
    <w:rsid w:val="00EE0017"/>
    <w:rsid w:val="00EE5E6E"/>
    <w:rsid w:val="00EF2BAC"/>
    <w:rsid w:val="00EF2E3C"/>
    <w:rsid w:val="00F148A5"/>
    <w:rsid w:val="00F22F4C"/>
    <w:rsid w:val="00F34D8D"/>
    <w:rsid w:val="00F37ED9"/>
    <w:rsid w:val="00F46004"/>
    <w:rsid w:val="00F52AF8"/>
    <w:rsid w:val="00F575AA"/>
    <w:rsid w:val="00F57C80"/>
    <w:rsid w:val="00F72D07"/>
    <w:rsid w:val="00F96B04"/>
    <w:rsid w:val="00FC060F"/>
    <w:rsid w:val="00FC4D84"/>
    <w:rsid w:val="00FE3D21"/>
    <w:rsid w:val="00FF1679"/>
    <w:rsid w:val="00FF1E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CA7"/>
    <w:pPr>
      <w:spacing w:after="0" w:line="240" w:lineRule="auto"/>
    </w:pPr>
    <w:rPr>
      <w:rFonts w:ascii="Calibri" w:eastAsia="Calibri" w:hAnsi="Calibri" w:cs="Times New Roman"/>
      <w:lang w:val="es-ES"/>
    </w:rPr>
  </w:style>
  <w:style w:type="paragraph" w:styleId="Ttulo1">
    <w:name w:val="heading 1"/>
    <w:basedOn w:val="Normal"/>
    <w:next w:val="Normal"/>
    <w:link w:val="Ttulo1Car"/>
    <w:uiPriority w:val="9"/>
    <w:qFormat/>
    <w:rsid w:val="00BC40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772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C18C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45CA7"/>
    <w:rPr>
      <w:rFonts w:ascii="Tahoma" w:hAnsi="Tahoma" w:cs="Tahoma"/>
      <w:sz w:val="16"/>
      <w:szCs w:val="16"/>
    </w:rPr>
  </w:style>
  <w:style w:type="character" w:customStyle="1" w:styleId="TextodegloboCar">
    <w:name w:val="Texto de globo Car"/>
    <w:basedOn w:val="Fuentedeprrafopredeter"/>
    <w:link w:val="Textodeglobo"/>
    <w:uiPriority w:val="99"/>
    <w:semiHidden/>
    <w:rsid w:val="00045CA7"/>
    <w:rPr>
      <w:rFonts w:ascii="Tahoma" w:eastAsia="Calibri" w:hAnsi="Tahoma" w:cs="Tahoma"/>
      <w:sz w:val="16"/>
      <w:szCs w:val="16"/>
      <w:lang w:val="es-ES"/>
    </w:rPr>
  </w:style>
  <w:style w:type="character" w:customStyle="1" w:styleId="Ttulo1Car">
    <w:name w:val="Título 1 Car"/>
    <w:basedOn w:val="Fuentedeprrafopredeter"/>
    <w:link w:val="Ttulo1"/>
    <w:uiPriority w:val="9"/>
    <w:rsid w:val="00BC4008"/>
    <w:rPr>
      <w:rFonts w:asciiTheme="majorHAnsi" w:eastAsiaTheme="majorEastAsia" w:hAnsiTheme="majorHAnsi" w:cstheme="majorBidi"/>
      <w:b/>
      <w:bCs/>
      <w:color w:val="365F91" w:themeColor="accent1" w:themeShade="BF"/>
      <w:sz w:val="28"/>
      <w:szCs w:val="28"/>
      <w:lang w:val="es-ES"/>
    </w:rPr>
  </w:style>
  <w:style w:type="paragraph" w:styleId="TtulodeTDC">
    <w:name w:val="TOC Heading"/>
    <w:basedOn w:val="Ttulo1"/>
    <w:next w:val="Normal"/>
    <w:uiPriority w:val="39"/>
    <w:semiHidden/>
    <w:unhideWhenUsed/>
    <w:qFormat/>
    <w:rsid w:val="00BC4008"/>
    <w:pPr>
      <w:spacing w:line="276" w:lineRule="auto"/>
      <w:outlineLvl w:val="9"/>
    </w:pPr>
    <w:rPr>
      <w:lang w:val="es-CO" w:eastAsia="es-CO"/>
    </w:rPr>
  </w:style>
  <w:style w:type="paragraph" w:styleId="Prrafodelista">
    <w:name w:val="List Paragraph"/>
    <w:basedOn w:val="Normal"/>
    <w:link w:val="PrrafodelistaCar"/>
    <w:uiPriority w:val="34"/>
    <w:qFormat/>
    <w:rsid w:val="006772D4"/>
    <w:pPr>
      <w:ind w:left="720"/>
      <w:contextualSpacing/>
    </w:pPr>
  </w:style>
  <w:style w:type="character" w:customStyle="1" w:styleId="PrrafodelistaCar">
    <w:name w:val="Párrafo de lista Car"/>
    <w:link w:val="Prrafodelista"/>
    <w:uiPriority w:val="34"/>
    <w:locked/>
    <w:rsid w:val="006772D4"/>
    <w:rPr>
      <w:rFonts w:ascii="Calibri" w:eastAsia="Calibri" w:hAnsi="Calibri" w:cs="Times New Roman"/>
      <w:lang w:val="es-ES"/>
    </w:rPr>
  </w:style>
  <w:style w:type="character" w:customStyle="1" w:styleId="Ttulo2Car">
    <w:name w:val="Título 2 Car"/>
    <w:basedOn w:val="Fuentedeprrafopredeter"/>
    <w:link w:val="Ttulo2"/>
    <w:uiPriority w:val="9"/>
    <w:rsid w:val="006772D4"/>
    <w:rPr>
      <w:rFonts w:asciiTheme="majorHAnsi" w:eastAsiaTheme="majorEastAsia" w:hAnsiTheme="majorHAnsi" w:cstheme="majorBidi"/>
      <w:b/>
      <w:bCs/>
      <w:color w:val="4F81BD" w:themeColor="accent1"/>
      <w:sz w:val="26"/>
      <w:szCs w:val="26"/>
      <w:lang w:val="es-ES"/>
    </w:rPr>
  </w:style>
  <w:style w:type="paragraph" w:styleId="Textonotapie">
    <w:name w:val="footnote text"/>
    <w:aliases w:val=" Car,Car,texto de nota al pie,Nota a pie/Bibliog,Texto nota pie Car1,Texto nota pie Car Car, Car1 Car Car, Car1 Car2, Car1,ft Car Car,ft Car,ft,Texto nota pie Car11,Texto nota pie Car Car1, Car1 Car Car1, Car1 Car21, Car11 Car Car,fn,f,Ca"/>
    <w:basedOn w:val="Normal"/>
    <w:link w:val="TextonotapieCar"/>
    <w:uiPriority w:val="99"/>
    <w:unhideWhenUsed/>
    <w:qFormat/>
    <w:rsid w:val="006772D4"/>
    <w:rPr>
      <w:sz w:val="20"/>
      <w:szCs w:val="20"/>
    </w:rPr>
  </w:style>
  <w:style w:type="character" w:customStyle="1" w:styleId="TextonotapieCar">
    <w:name w:val="Texto nota pie Car"/>
    <w:aliases w:val=" Car Car,Car Car,texto de nota al pie Car,Nota a pie/Bibliog Car,Texto nota pie Car1 Car,Texto nota pie Car Car Car, Car1 Car Car Car, Car1 Car2 Car, Car1 Car,ft Car Car Car,ft Car Car1,ft Car1,Texto nota pie Car11 Car, Car1 Car21 Car"/>
    <w:basedOn w:val="Fuentedeprrafopredeter"/>
    <w:link w:val="Textonotapie"/>
    <w:uiPriority w:val="99"/>
    <w:rsid w:val="006772D4"/>
    <w:rPr>
      <w:rFonts w:ascii="Calibri" w:eastAsia="Calibri" w:hAnsi="Calibri" w:cs="Times New Roman"/>
      <w:sz w:val="20"/>
      <w:szCs w:val="20"/>
      <w:lang w:val="es-ES"/>
    </w:rPr>
  </w:style>
  <w:style w:type="character" w:styleId="Refdenotaalpie">
    <w:name w:val="footnote reference"/>
    <w:aliases w:val="referencia nota al pie,Footnote symbol,Footnote,Ref,de nota al pie,Nota de pie,Ref. de nota al pie2,Ref1,FC,Texto de nota al pie,BVI fnr,Pie de pagina"/>
    <w:uiPriority w:val="99"/>
    <w:unhideWhenUsed/>
    <w:rsid w:val="006772D4"/>
    <w:rPr>
      <w:vertAlign w:val="superscript"/>
    </w:rPr>
  </w:style>
  <w:style w:type="character" w:styleId="nfasis">
    <w:name w:val="Emphasis"/>
    <w:basedOn w:val="Fuentedeprrafopredeter"/>
    <w:uiPriority w:val="20"/>
    <w:qFormat/>
    <w:rsid w:val="001259C6"/>
    <w:rPr>
      <w:i/>
      <w:iCs/>
    </w:rPr>
  </w:style>
  <w:style w:type="character" w:customStyle="1" w:styleId="apple-converted-space">
    <w:name w:val="apple-converted-space"/>
    <w:basedOn w:val="Fuentedeprrafopredeter"/>
    <w:rsid w:val="001259C6"/>
  </w:style>
  <w:style w:type="paragraph" w:styleId="Epgrafe">
    <w:name w:val="caption"/>
    <w:basedOn w:val="Normal"/>
    <w:next w:val="Normal"/>
    <w:link w:val="EpgrafeCar"/>
    <w:uiPriority w:val="35"/>
    <w:unhideWhenUsed/>
    <w:qFormat/>
    <w:rsid w:val="00AE0ABC"/>
    <w:rPr>
      <w:b/>
      <w:bCs/>
      <w:color w:val="4F81BD" w:themeColor="accent1"/>
      <w:sz w:val="18"/>
      <w:szCs w:val="18"/>
    </w:rPr>
  </w:style>
  <w:style w:type="character" w:customStyle="1" w:styleId="EpgrafeCar">
    <w:name w:val="Epígrafe Car"/>
    <w:link w:val="Epgrafe"/>
    <w:uiPriority w:val="35"/>
    <w:locked/>
    <w:rsid w:val="00AE0ABC"/>
    <w:rPr>
      <w:rFonts w:ascii="Calibri" w:eastAsia="Calibri" w:hAnsi="Calibri" w:cs="Times New Roman"/>
      <w:b/>
      <w:bCs/>
      <w:color w:val="4F81BD" w:themeColor="accent1"/>
      <w:sz w:val="18"/>
      <w:szCs w:val="18"/>
      <w:lang w:val="es-ES"/>
    </w:rPr>
  </w:style>
  <w:style w:type="character" w:styleId="Hipervnculo">
    <w:name w:val="Hyperlink"/>
    <w:basedOn w:val="Fuentedeprrafopredeter"/>
    <w:uiPriority w:val="99"/>
    <w:unhideWhenUsed/>
    <w:rsid w:val="001551D7"/>
    <w:rPr>
      <w:color w:val="0000FF" w:themeColor="hyperlink"/>
      <w:u w:val="single"/>
    </w:rPr>
  </w:style>
  <w:style w:type="character" w:customStyle="1" w:styleId="Ttulo3Car">
    <w:name w:val="Título 3 Car"/>
    <w:basedOn w:val="Fuentedeprrafopredeter"/>
    <w:link w:val="Ttulo3"/>
    <w:uiPriority w:val="9"/>
    <w:rsid w:val="00EC18C0"/>
    <w:rPr>
      <w:rFonts w:asciiTheme="majorHAnsi" w:eastAsiaTheme="majorEastAsia" w:hAnsiTheme="majorHAnsi" w:cstheme="majorBidi"/>
      <w:b/>
      <w:bCs/>
      <w:color w:val="4F81BD" w:themeColor="accent1"/>
      <w:lang w:val="es-ES"/>
    </w:rPr>
  </w:style>
  <w:style w:type="paragraph" w:customStyle="1" w:styleId="ecxmsonormal">
    <w:name w:val="ecxmsonormal"/>
    <w:basedOn w:val="Normal"/>
    <w:rsid w:val="00EC18C0"/>
    <w:pPr>
      <w:spacing w:before="100" w:beforeAutospacing="1" w:after="100" w:afterAutospacing="1"/>
    </w:pPr>
    <w:rPr>
      <w:rFonts w:ascii="Times New Roman" w:eastAsia="Times New Roman" w:hAnsi="Times New Roman"/>
      <w:sz w:val="24"/>
      <w:szCs w:val="24"/>
      <w:lang w:eastAsia="es-ES"/>
    </w:rPr>
  </w:style>
  <w:style w:type="paragraph" w:customStyle="1" w:styleId="Default">
    <w:name w:val="Default"/>
    <w:rsid w:val="00381869"/>
    <w:pPr>
      <w:autoSpaceDE w:val="0"/>
      <w:autoSpaceDN w:val="0"/>
      <w:adjustRightInd w:val="0"/>
      <w:spacing w:after="0" w:line="240" w:lineRule="auto"/>
    </w:pPr>
    <w:rPr>
      <w:rFonts w:ascii="Arial" w:eastAsia="Calibri" w:hAnsi="Arial" w:cs="Arial"/>
      <w:color w:val="000000"/>
      <w:sz w:val="24"/>
      <w:szCs w:val="24"/>
      <w:lang w:val="es-MX" w:eastAsia="es-MX"/>
    </w:rPr>
  </w:style>
  <w:style w:type="paragraph" w:customStyle="1" w:styleId="Pa47">
    <w:name w:val="Pa47"/>
    <w:basedOn w:val="Normal"/>
    <w:next w:val="Normal"/>
    <w:uiPriority w:val="99"/>
    <w:rsid w:val="00C34296"/>
    <w:pPr>
      <w:autoSpaceDE w:val="0"/>
      <w:autoSpaceDN w:val="0"/>
      <w:adjustRightInd w:val="0"/>
      <w:spacing w:line="221" w:lineRule="atLeast"/>
    </w:pPr>
    <w:rPr>
      <w:rFonts w:ascii="Arial" w:eastAsiaTheme="minorHAnsi" w:hAnsi="Arial" w:cs="Arial"/>
      <w:sz w:val="24"/>
      <w:szCs w:val="24"/>
      <w:lang w:val="es-CO"/>
    </w:rPr>
  </w:style>
  <w:style w:type="paragraph" w:styleId="Mapadeldocumento">
    <w:name w:val="Document Map"/>
    <w:basedOn w:val="Normal"/>
    <w:link w:val="MapadeldocumentoCar"/>
    <w:uiPriority w:val="99"/>
    <w:semiHidden/>
    <w:unhideWhenUsed/>
    <w:rsid w:val="00E65CB9"/>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65CB9"/>
    <w:rPr>
      <w:rFonts w:ascii="Tahoma" w:eastAsia="Calibri" w:hAnsi="Tahoma" w:cs="Tahoma"/>
      <w:sz w:val="16"/>
      <w:szCs w:val="16"/>
      <w:lang w:val="es-ES"/>
    </w:rPr>
  </w:style>
  <w:style w:type="paragraph" w:customStyle="1" w:styleId="Cuadrculamedia21">
    <w:name w:val="Cuadrícula media 21"/>
    <w:uiPriority w:val="1"/>
    <w:qFormat/>
    <w:rsid w:val="00E778E4"/>
    <w:pPr>
      <w:spacing w:after="0" w:line="240" w:lineRule="auto"/>
    </w:pPr>
    <w:rPr>
      <w:rFonts w:ascii="Calibri" w:eastAsia="Calibri" w:hAnsi="Calibri" w:cs="Times New Roman"/>
      <w:lang w:val="es-MX"/>
    </w:rPr>
  </w:style>
  <w:style w:type="character" w:styleId="Textoennegrita">
    <w:name w:val="Strong"/>
    <w:uiPriority w:val="22"/>
    <w:qFormat/>
    <w:rsid w:val="00E778E4"/>
    <w:rPr>
      <w:b/>
      <w:bCs/>
    </w:rPr>
  </w:style>
  <w:style w:type="paragraph" w:customStyle="1" w:styleId="Sinespaciado1">
    <w:name w:val="Sin espaciado1"/>
    <w:basedOn w:val="Normal"/>
    <w:rsid w:val="000E7ABC"/>
    <w:pPr>
      <w:suppressAutoHyphens/>
      <w:spacing w:after="200" w:line="276" w:lineRule="auto"/>
    </w:pPr>
    <w:rPr>
      <w:rFonts w:eastAsia="Times New Roman"/>
      <w:szCs w:val="32"/>
      <w:lang w:val="es-CO" w:eastAsia="es-CO"/>
    </w:rPr>
  </w:style>
  <w:style w:type="paragraph" w:customStyle="1" w:styleId="BodyText21">
    <w:name w:val="Body Text 21"/>
    <w:basedOn w:val="Normal"/>
    <w:uiPriority w:val="99"/>
    <w:rsid w:val="00B75C85"/>
    <w:pPr>
      <w:widowControl w:val="0"/>
      <w:jc w:val="both"/>
    </w:pPr>
    <w:rPr>
      <w:rFonts w:ascii="Arial" w:eastAsia="Times New Roman" w:hAnsi="Arial"/>
      <w:color w:val="FF0000"/>
      <w:sz w:val="20"/>
      <w:szCs w:val="20"/>
      <w:lang w:eastAsia="es-ES"/>
    </w:rPr>
  </w:style>
  <w:style w:type="paragraph" w:styleId="NormalWeb">
    <w:name w:val="Normal (Web)"/>
    <w:basedOn w:val="Normal"/>
    <w:uiPriority w:val="99"/>
    <w:unhideWhenUsed/>
    <w:rsid w:val="00B75C85"/>
    <w:pPr>
      <w:spacing w:before="100" w:beforeAutospacing="1" w:after="100" w:afterAutospacing="1"/>
    </w:pPr>
    <w:rPr>
      <w:rFonts w:ascii="Times New Roman" w:eastAsia="Times New Roman" w:hAnsi="Times New Roman"/>
      <w:sz w:val="24"/>
      <w:szCs w:val="24"/>
      <w:lang w:val="es-CO" w:eastAsia="es-CO"/>
    </w:rPr>
  </w:style>
  <w:style w:type="paragraph" w:styleId="Sinespaciado">
    <w:name w:val="No Spacing"/>
    <w:link w:val="SinespaciadoCar"/>
    <w:uiPriority w:val="1"/>
    <w:qFormat/>
    <w:rsid w:val="002047EF"/>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2047EF"/>
    <w:rPr>
      <w:sz w:val="16"/>
      <w:szCs w:val="16"/>
    </w:rPr>
  </w:style>
  <w:style w:type="paragraph" w:styleId="Textocomentario">
    <w:name w:val="annotation text"/>
    <w:basedOn w:val="Normal"/>
    <w:link w:val="TextocomentarioCar"/>
    <w:uiPriority w:val="99"/>
    <w:semiHidden/>
    <w:unhideWhenUsed/>
    <w:rsid w:val="002047EF"/>
    <w:rPr>
      <w:sz w:val="20"/>
      <w:szCs w:val="20"/>
    </w:rPr>
  </w:style>
  <w:style w:type="character" w:customStyle="1" w:styleId="TextocomentarioCar">
    <w:name w:val="Texto comentario Car"/>
    <w:basedOn w:val="Fuentedeprrafopredeter"/>
    <w:link w:val="Textocomentario"/>
    <w:uiPriority w:val="99"/>
    <w:semiHidden/>
    <w:rsid w:val="002047EF"/>
    <w:rPr>
      <w:rFonts w:ascii="Calibri" w:eastAsia="Calibri" w:hAnsi="Calibri" w:cs="Times New Roman"/>
      <w:sz w:val="20"/>
      <w:szCs w:val="20"/>
      <w:lang w:val="es-ES"/>
    </w:rPr>
  </w:style>
  <w:style w:type="table" w:styleId="Tablaconcuadrcula">
    <w:name w:val="Table Grid"/>
    <w:basedOn w:val="Tablanormal"/>
    <w:uiPriority w:val="59"/>
    <w:rsid w:val="00204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rsid w:val="002047EF"/>
    <w:rPr>
      <w:rFonts w:ascii="Calibri" w:eastAsia="Calibri" w:hAnsi="Calibri" w:cs="Times New Roman"/>
      <w:lang w:val="es-ES"/>
    </w:rPr>
  </w:style>
  <w:style w:type="paragraph" w:styleId="Encabezado">
    <w:name w:val="header"/>
    <w:basedOn w:val="Normal"/>
    <w:link w:val="EncabezadoCar"/>
    <w:uiPriority w:val="99"/>
    <w:semiHidden/>
    <w:unhideWhenUsed/>
    <w:rsid w:val="00F57C80"/>
    <w:pPr>
      <w:tabs>
        <w:tab w:val="center" w:pos="4419"/>
        <w:tab w:val="right" w:pos="8838"/>
      </w:tabs>
    </w:pPr>
  </w:style>
  <w:style w:type="character" w:customStyle="1" w:styleId="EncabezadoCar">
    <w:name w:val="Encabezado Car"/>
    <w:basedOn w:val="Fuentedeprrafopredeter"/>
    <w:link w:val="Encabezado"/>
    <w:uiPriority w:val="99"/>
    <w:semiHidden/>
    <w:rsid w:val="00F57C80"/>
    <w:rPr>
      <w:rFonts w:ascii="Calibri" w:eastAsia="Calibri" w:hAnsi="Calibri" w:cs="Times New Roman"/>
      <w:lang w:val="es-ES"/>
    </w:rPr>
  </w:style>
  <w:style w:type="paragraph" w:styleId="Piedepgina">
    <w:name w:val="footer"/>
    <w:basedOn w:val="Normal"/>
    <w:link w:val="PiedepginaCar"/>
    <w:uiPriority w:val="99"/>
    <w:unhideWhenUsed/>
    <w:rsid w:val="00F57C80"/>
    <w:pPr>
      <w:tabs>
        <w:tab w:val="center" w:pos="4419"/>
        <w:tab w:val="right" w:pos="8838"/>
      </w:tabs>
    </w:pPr>
  </w:style>
  <w:style w:type="character" w:customStyle="1" w:styleId="PiedepginaCar">
    <w:name w:val="Pie de página Car"/>
    <w:basedOn w:val="Fuentedeprrafopredeter"/>
    <w:link w:val="Piedepgina"/>
    <w:uiPriority w:val="99"/>
    <w:rsid w:val="00F57C80"/>
    <w:rPr>
      <w:rFonts w:ascii="Calibri" w:eastAsia="Calibri" w:hAnsi="Calibri" w:cs="Times New Roman"/>
      <w:lang w:val="es-ES"/>
    </w:rPr>
  </w:style>
  <w:style w:type="paragraph" w:styleId="TDC1">
    <w:name w:val="toc 1"/>
    <w:basedOn w:val="Normal"/>
    <w:next w:val="Normal"/>
    <w:autoRedefine/>
    <w:uiPriority w:val="39"/>
    <w:unhideWhenUsed/>
    <w:rsid w:val="00F34D8D"/>
    <w:pPr>
      <w:spacing w:after="100"/>
    </w:pPr>
  </w:style>
  <w:style w:type="paragraph" w:styleId="TDC2">
    <w:name w:val="toc 2"/>
    <w:basedOn w:val="Normal"/>
    <w:next w:val="Normal"/>
    <w:autoRedefine/>
    <w:uiPriority w:val="39"/>
    <w:unhideWhenUsed/>
    <w:rsid w:val="00F34D8D"/>
    <w:pPr>
      <w:spacing w:after="100"/>
      <w:ind w:left="220"/>
    </w:pPr>
  </w:style>
  <w:style w:type="paragraph" w:styleId="TDC3">
    <w:name w:val="toc 3"/>
    <w:basedOn w:val="Normal"/>
    <w:next w:val="Normal"/>
    <w:autoRedefine/>
    <w:uiPriority w:val="39"/>
    <w:unhideWhenUsed/>
    <w:rsid w:val="00F34D8D"/>
    <w:pPr>
      <w:spacing w:after="100"/>
      <w:ind w:left="440"/>
    </w:pPr>
  </w:style>
  <w:style w:type="paragraph" w:styleId="Tabladeilustraciones">
    <w:name w:val="table of figures"/>
    <w:basedOn w:val="Normal"/>
    <w:next w:val="Normal"/>
    <w:uiPriority w:val="99"/>
    <w:unhideWhenUsed/>
    <w:rsid w:val="00F34D8D"/>
  </w:style>
  <w:style w:type="paragraph" w:styleId="Asuntodelcomentario">
    <w:name w:val="annotation subject"/>
    <w:basedOn w:val="Textocomentario"/>
    <w:next w:val="Textocomentario"/>
    <w:link w:val="AsuntodelcomentarioCar"/>
    <w:uiPriority w:val="99"/>
    <w:semiHidden/>
    <w:unhideWhenUsed/>
    <w:rsid w:val="00F72D07"/>
    <w:rPr>
      <w:b/>
      <w:bCs/>
    </w:rPr>
  </w:style>
  <w:style w:type="character" w:customStyle="1" w:styleId="AsuntodelcomentarioCar">
    <w:name w:val="Asunto del comentario Car"/>
    <w:basedOn w:val="TextocomentarioCar"/>
    <w:link w:val="Asuntodelcomentario"/>
    <w:uiPriority w:val="99"/>
    <w:semiHidden/>
    <w:rsid w:val="00F72D07"/>
    <w:rPr>
      <w:rFonts w:ascii="Calibri" w:eastAsia="Calibri"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CA7"/>
    <w:pPr>
      <w:spacing w:after="0" w:line="240" w:lineRule="auto"/>
    </w:pPr>
    <w:rPr>
      <w:rFonts w:ascii="Calibri" w:eastAsia="Calibri" w:hAnsi="Calibri" w:cs="Times New Roman"/>
      <w:lang w:val="es-ES"/>
    </w:rPr>
  </w:style>
  <w:style w:type="paragraph" w:styleId="Ttulo1">
    <w:name w:val="heading 1"/>
    <w:basedOn w:val="Normal"/>
    <w:next w:val="Normal"/>
    <w:link w:val="Ttulo1Car"/>
    <w:uiPriority w:val="9"/>
    <w:qFormat/>
    <w:rsid w:val="00BC40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772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C18C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45CA7"/>
    <w:rPr>
      <w:rFonts w:ascii="Tahoma" w:hAnsi="Tahoma" w:cs="Tahoma"/>
      <w:sz w:val="16"/>
      <w:szCs w:val="16"/>
    </w:rPr>
  </w:style>
  <w:style w:type="character" w:customStyle="1" w:styleId="TextodegloboCar">
    <w:name w:val="Texto de globo Car"/>
    <w:basedOn w:val="Fuentedeprrafopredeter"/>
    <w:link w:val="Textodeglobo"/>
    <w:uiPriority w:val="99"/>
    <w:semiHidden/>
    <w:rsid w:val="00045CA7"/>
    <w:rPr>
      <w:rFonts w:ascii="Tahoma" w:eastAsia="Calibri" w:hAnsi="Tahoma" w:cs="Tahoma"/>
      <w:sz w:val="16"/>
      <w:szCs w:val="16"/>
      <w:lang w:val="es-ES"/>
    </w:rPr>
  </w:style>
  <w:style w:type="character" w:customStyle="1" w:styleId="Ttulo1Car">
    <w:name w:val="Título 1 Car"/>
    <w:basedOn w:val="Fuentedeprrafopredeter"/>
    <w:link w:val="Ttulo1"/>
    <w:uiPriority w:val="9"/>
    <w:rsid w:val="00BC4008"/>
    <w:rPr>
      <w:rFonts w:asciiTheme="majorHAnsi" w:eastAsiaTheme="majorEastAsia" w:hAnsiTheme="majorHAnsi" w:cstheme="majorBidi"/>
      <w:b/>
      <w:bCs/>
      <w:color w:val="365F91" w:themeColor="accent1" w:themeShade="BF"/>
      <w:sz w:val="28"/>
      <w:szCs w:val="28"/>
      <w:lang w:val="es-ES"/>
    </w:rPr>
  </w:style>
  <w:style w:type="paragraph" w:styleId="TtulodeTDC">
    <w:name w:val="TOC Heading"/>
    <w:basedOn w:val="Ttulo1"/>
    <w:next w:val="Normal"/>
    <w:uiPriority w:val="39"/>
    <w:semiHidden/>
    <w:unhideWhenUsed/>
    <w:qFormat/>
    <w:rsid w:val="00BC4008"/>
    <w:pPr>
      <w:spacing w:line="276" w:lineRule="auto"/>
      <w:outlineLvl w:val="9"/>
    </w:pPr>
    <w:rPr>
      <w:lang w:val="es-CO" w:eastAsia="es-CO"/>
    </w:rPr>
  </w:style>
  <w:style w:type="paragraph" w:styleId="Prrafodelista">
    <w:name w:val="List Paragraph"/>
    <w:basedOn w:val="Normal"/>
    <w:link w:val="PrrafodelistaCar"/>
    <w:uiPriority w:val="34"/>
    <w:qFormat/>
    <w:rsid w:val="006772D4"/>
    <w:pPr>
      <w:ind w:left="720"/>
      <w:contextualSpacing/>
    </w:pPr>
  </w:style>
  <w:style w:type="character" w:customStyle="1" w:styleId="PrrafodelistaCar">
    <w:name w:val="Párrafo de lista Car"/>
    <w:link w:val="Prrafodelista"/>
    <w:uiPriority w:val="34"/>
    <w:locked/>
    <w:rsid w:val="006772D4"/>
    <w:rPr>
      <w:rFonts w:ascii="Calibri" w:eastAsia="Calibri" w:hAnsi="Calibri" w:cs="Times New Roman"/>
      <w:lang w:val="es-ES"/>
    </w:rPr>
  </w:style>
  <w:style w:type="character" w:customStyle="1" w:styleId="Ttulo2Car">
    <w:name w:val="Título 2 Car"/>
    <w:basedOn w:val="Fuentedeprrafopredeter"/>
    <w:link w:val="Ttulo2"/>
    <w:uiPriority w:val="9"/>
    <w:rsid w:val="006772D4"/>
    <w:rPr>
      <w:rFonts w:asciiTheme="majorHAnsi" w:eastAsiaTheme="majorEastAsia" w:hAnsiTheme="majorHAnsi" w:cstheme="majorBidi"/>
      <w:b/>
      <w:bCs/>
      <w:color w:val="4F81BD" w:themeColor="accent1"/>
      <w:sz w:val="26"/>
      <w:szCs w:val="26"/>
      <w:lang w:val="es-ES"/>
    </w:rPr>
  </w:style>
  <w:style w:type="paragraph" w:styleId="Textonotapie">
    <w:name w:val="footnote text"/>
    <w:aliases w:val=" Car,Car,texto de nota al pie,Nota a pie/Bibliog,Texto nota pie Car1,Texto nota pie Car Car, Car1 Car Car, Car1 Car2, Car1,ft Car Car,ft Car,ft,Texto nota pie Car11,Texto nota pie Car Car1, Car1 Car Car1, Car1 Car21, Car11 Car Car,fn,f,Ca"/>
    <w:basedOn w:val="Normal"/>
    <w:link w:val="TextonotapieCar"/>
    <w:uiPriority w:val="99"/>
    <w:unhideWhenUsed/>
    <w:qFormat/>
    <w:rsid w:val="006772D4"/>
    <w:rPr>
      <w:sz w:val="20"/>
      <w:szCs w:val="20"/>
    </w:rPr>
  </w:style>
  <w:style w:type="character" w:customStyle="1" w:styleId="TextonotapieCar">
    <w:name w:val="Texto nota pie Car"/>
    <w:aliases w:val=" Car Car,Car Car,texto de nota al pie Car,Nota a pie/Bibliog Car,Texto nota pie Car1 Car,Texto nota pie Car Car Car, Car1 Car Car Car, Car1 Car2 Car, Car1 Car,ft Car Car Car,ft Car Car1,ft Car1,Texto nota pie Car11 Car, Car1 Car21 Car"/>
    <w:basedOn w:val="Fuentedeprrafopredeter"/>
    <w:link w:val="Textonotapie"/>
    <w:uiPriority w:val="99"/>
    <w:rsid w:val="006772D4"/>
    <w:rPr>
      <w:rFonts w:ascii="Calibri" w:eastAsia="Calibri" w:hAnsi="Calibri" w:cs="Times New Roman"/>
      <w:sz w:val="20"/>
      <w:szCs w:val="20"/>
      <w:lang w:val="es-ES"/>
    </w:rPr>
  </w:style>
  <w:style w:type="character" w:styleId="Refdenotaalpie">
    <w:name w:val="footnote reference"/>
    <w:aliases w:val="referencia nota al pie,Footnote symbol,Footnote,Ref,de nota al pie,Nota de pie,Ref. de nota al pie2,Ref1,FC,Texto de nota al pie,BVI fnr,Pie de pagina"/>
    <w:uiPriority w:val="99"/>
    <w:unhideWhenUsed/>
    <w:rsid w:val="006772D4"/>
    <w:rPr>
      <w:vertAlign w:val="superscript"/>
    </w:rPr>
  </w:style>
  <w:style w:type="character" w:styleId="nfasis">
    <w:name w:val="Emphasis"/>
    <w:basedOn w:val="Fuentedeprrafopredeter"/>
    <w:uiPriority w:val="20"/>
    <w:qFormat/>
    <w:rsid w:val="001259C6"/>
    <w:rPr>
      <w:i/>
      <w:iCs/>
    </w:rPr>
  </w:style>
  <w:style w:type="character" w:customStyle="1" w:styleId="apple-converted-space">
    <w:name w:val="apple-converted-space"/>
    <w:basedOn w:val="Fuentedeprrafopredeter"/>
    <w:rsid w:val="001259C6"/>
  </w:style>
  <w:style w:type="paragraph" w:styleId="Epgrafe">
    <w:name w:val="caption"/>
    <w:basedOn w:val="Normal"/>
    <w:next w:val="Normal"/>
    <w:link w:val="EpgrafeCar"/>
    <w:uiPriority w:val="35"/>
    <w:unhideWhenUsed/>
    <w:qFormat/>
    <w:rsid w:val="00AE0ABC"/>
    <w:rPr>
      <w:b/>
      <w:bCs/>
      <w:color w:val="4F81BD" w:themeColor="accent1"/>
      <w:sz w:val="18"/>
      <w:szCs w:val="18"/>
    </w:rPr>
  </w:style>
  <w:style w:type="character" w:customStyle="1" w:styleId="EpgrafeCar">
    <w:name w:val="Epígrafe Car"/>
    <w:link w:val="Epgrafe"/>
    <w:uiPriority w:val="35"/>
    <w:locked/>
    <w:rsid w:val="00AE0ABC"/>
    <w:rPr>
      <w:rFonts w:ascii="Calibri" w:eastAsia="Calibri" w:hAnsi="Calibri" w:cs="Times New Roman"/>
      <w:b/>
      <w:bCs/>
      <w:color w:val="4F81BD" w:themeColor="accent1"/>
      <w:sz w:val="18"/>
      <w:szCs w:val="18"/>
      <w:lang w:val="es-ES"/>
    </w:rPr>
  </w:style>
  <w:style w:type="character" w:styleId="Hipervnculo">
    <w:name w:val="Hyperlink"/>
    <w:basedOn w:val="Fuentedeprrafopredeter"/>
    <w:uiPriority w:val="99"/>
    <w:unhideWhenUsed/>
    <w:rsid w:val="001551D7"/>
    <w:rPr>
      <w:color w:val="0000FF" w:themeColor="hyperlink"/>
      <w:u w:val="single"/>
    </w:rPr>
  </w:style>
  <w:style w:type="character" w:customStyle="1" w:styleId="Ttulo3Car">
    <w:name w:val="Título 3 Car"/>
    <w:basedOn w:val="Fuentedeprrafopredeter"/>
    <w:link w:val="Ttulo3"/>
    <w:uiPriority w:val="9"/>
    <w:rsid w:val="00EC18C0"/>
    <w:rPr>
      <w:rFonts w:asciiTheme="majorHAnsi" w:eastAsiaTheme="majorEastAsia" w:hAnsiTheme="majorHAnsi" w:cstheme="majorBidi"/>
      <w:b/>
      <w:bCs/>
      <w:color w:val="4F81BD" w:themeColor="accent1"/>
      <w:lang w:val="es-ES"/>
    </w:rPr>
  </w:style>
  <w:style w:type="paragraph" w:customStyle="1" w:styleId="ecxmsonormal">
    <w:name w:val="ecxmsonormal"/>
    <w:basedOn w:val="Normal"/>
    <w:rsid w:val="00EC18C0"/>
    <w:pPr>
      <w:spacing w:before="100" w:beforeAutospacing="1" w:after="100" w:afterAutospacing="1"/>
    </w:pPr>
    <w:rPr>
      <w:rFonts w:ascii="Times New Roman" w:eastAsia="Times New Roman" w:hAnsi="Times New Roman"/>
      <w:sz w:val="24"/>
      <w:szCs w:val="24"/>
      <w:lang w:eastAsia="es-ES"/>
    </w:rPr>
  </w:style>
  <w:style w:type="paragraph" w:customStyle="1" w:styleId="Default">
    <w:name w:val="Default"/>
    <w:rsid w:val="00381869"/>
    <w:pPr>
      <w:autoSpaceDE w:val="0"/>
      <w:autoSpaceDN w:val="0"/>
      <w:adjustRightInd w:val="0"/>
      <w:spacing w:after="0" w:line="240" w:lineRule="auto"/>
    </w:pPr>
    <w:rPr>
      <w:rFonts w:ascii="Arial" w:eastAsia="Calibri" w:hAnsi="Arial" w:cs="Arial"/>
      <w:color w:val="000000"/>
      <w:sz w:val="24"/>
      <w:szCs w:val="24"/>
      <w:lang w:val="es-MX" w:eastAsia="es-MX"/>
    </w:rPr>
  </w:style>
  <w:style w:type="paragraph" w:customStyle="1" w:styleId="Pa47">
    <w:name w:val="Pa47"/>
    <w:basedOn w:val="Normal"/>
    <w:next w:val="Normal"/>
    <w:uiPriority w:val="99"/>
    <w:rsid w:val="00C34296"/>
    <w:pPr>
      <w:autoSpaceDE w:val="0"/>
      <w:autoSpaceDN w:val="0"/>
      <w:adjustRightInd w:val="0"/>
      <w:spacing w:line="221" w:lineRule="atLeast"/>
    </w:pPr>
    <w:rPr>
      <w:rFonts w:ascii="Arial" w:eastAsiaTheme="minorHAnsi" w:hAnsi="Arial" w:cs="Arial"/>
      <w:sz w:val="24"/>
      <w:szCs w:val="24"/>
      <w:lang w:val="es-CO"/>
    </w:rPr>
  </w:style>
  <w:style w:type="paragraph" w:styleId="Mapadeldocumento">
    <w:name w:val="Document Map"/>
    <w:basedOn w:val="Normal"/>
    <w:link w:val="MapadeldocumentoCar"/>
    <w:uiPriority w:val="99"/>
    <w:semiHidden/>
    <w:unhideWhenUsed/>
    <w:rsid w:val="00E65CB9"/>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65CB9"/>
    <w:rPr>
      <w:rFonts w:ascii="Tahoma" w:eastAsia="Calibri" w:hAnsi="Tahoma" w:cs="Tahoma"/>
      <w:sz w:val="16"/>
      <w:szCs w:val="16"/>
      <w:lang w:val="es-ES"/>
    </w:rPr>
  </w:style>
  <w:style w:type="paragraph" w:customStyle="1" w:styleId="Cuadrculamedia21">
    <w:name w:val="Cuadrícula media 21"/>
    <w:uiPriority w:val="1"/>
    <w:qFormat/>
    <w:rsid w:val="00E778E4"/>
    <w:pPr>
      <w:spacing w:after="0" w:line="240" w:lineRule="auto"/>
    </w:pPr>
    <w:rPr>
      <w:rFonts w:ascii="Calibri" w:eastAsia="Calibri" w:hAnsi="Calibri" w:cs="Times New Roman"/>
      <w:lang w:val="es-MX"/>
    </w:rPr>
  </w:style>
  <w:style w:type="character" w:styleId="Textoennegrita">
    <w:name w:val="Strong"/>
    <w:uiPriority w:val="22"/>
    <w:qFormat/>
    <w:rsid w:val="00E778E4"/>
    <w:rPr>
      <w:b/>
      <w:bCs/>
    </w:rPr>
  </w:style>
  <w:style w:type="paragraph" w:customStyle="1" w:styleId="Sinespaciado1">
    <w:name w:val="Sin espaciado1"/>
    <w:basedOn w:val="Normal"/>
    <w:rsid w:val="000E7ABC"/>
    <w:pPr>
      <w:suppressAutoHyphens/>
      <w:spacing w:after="200" w:line="276" w:lineRule="auto"/>
    </w:pPr>
    <w:rPr>
      <w:rFonts w:eastAsia="Times New Roman"/>
      <w:szCs w:val="32"/>
      <w:lang w:val="es-CO" w:eastAsia="es-CO"/>
    </w:rPr>
  </w:style>
  <w:style w:type="paragraph" w:customStyle="1" w:styleId="BodyText21">
    <w:name w:val="Body Text 21"/>
    <w:basedOn w:val="Normal"/>
    <w:uiPriority w:val="99"/>
    <w:rsid w:val="00B75C85"/>
    <w:pPr>
      <w:widowControl w:val="0"/>
      <w:jc w:val="both"/>
    </w:pPr>
    <w:rPr>
      <w:rFonts w:ascii="Arial" w:eastAsia="Times New Roman" w:hAnsi="Arial"/>
      <w:color w:val="FF0000"/>
      <w:sz w:val="20"/>
      <w:szCs w:val="20"/>
      <w:lang w:eastAsia="es-ES"/>
    </w:rPr>
  </w:style>
  <w:style w:type="paragraph" w:styleId="NormalWeb">
    <w:name w:val="Normal (Web)"/>
    <w:basedOn w:val="Normal"/>
    <w:uiPriority w:val="99"/>
    <w:unhideWhenUsed/>
    <w:rsid w:val="00B75C85"/>
    <w:pPr>
      <w:spacing w:before="100" w:beforeAutospacing="1" w:after="100" w:afterAutospacing="1"/>
    </w:pPr>
    <w:rPr>
      <w:rFonts w:ascii="Times New Roman" w:eastAsia="Times New Roman" w:hAnsi="Times New Roman"/>
      <w:sz w:val="24"/>
      <w:szCs w:val="24"/>
      <w:lang w:val="es-CO" w:eastAsia="es-CO"/>
    </w:rPr>
  </w:style>
  <w:style w:type="paragraph" w:styleId="Sinespaciado">
    <w:name w:val="No Spacing"/>
    <w:link w:val="SinespaciadoCar"/>
    <w:uiPriority w:val="1"/>
    <w:qFormat/>
    <w:rsid w:val="002047EF"/>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2047EF"/>
    <w:rPr>
      <w:sz w:val="16"/>
      <w:szCs w:val="16"/>
    </w:rPr>
  </w:style>
  <w:style w:type="paragraph" w:styleId="Textocomentario">
    <w:name w:val="annotation text"/>
    <w:basedOn w:val="Normal"/>
    <w:link w:val="TextocomentarioCar"/>
    <w:uiPriority w:val="99"/>
    <w:semiHidden/>
    <w:unhideWhenUsed/>
    <w:rsid w:val="002047EF"/>
    <w:rPr>
      <w:sz w:val="20"/>
      <w:szCs w:val="20"/>
    </w:rPr>
  </w:style>
  <w:style w:type="character" w:customStyle="1" w:styleId="TextocomentarioCar">
    <w:name w:val="Texto comentario Car"/>
    <w:basedOn w:val="Fuentedeprrafopredeter"/>
    <w:link w:val="Textocomentario"/>
    <w:uiPriority w:val="99"/>
    <w:semiHidden/>
    <w:rsid w:val="002047EF"/>
    <w:rPr>
      <w:rFonts w:ascii="Calibri" w:eastAsia="Calibri" w:hAnsi="Calibri" w:cs="Times New Roman"/>
      <w:sz w:val="20"/>
      <w:szCs w:val="20"/>
      <w:lang w:val="es-ES"/>
    </w:rPr>
  </w:style>
  <w:style w:type="table" w:styleId="Tablaconcuadrcula">
    <w:name w:val="Table Grid"/>
    <w:basedOn w:val="Tablanormal"/>
    <w:uiPriority w:val="59"/>
    <w:rsid w:val="00204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rsid w:val="002047EF"/>
    <w:rPr>
      <w:rFonts w:ascii="Calibri" w:eastAsia="Calibri" w:hAnsi="Calibri" w:cs="Times New Roman"/>
      <w:lang w:val="es-ES"/>
    </w:rPr>
  </w:style>
  <w:style w:type="paragraph" w:styleId="Encabezado">
    <w:name w:val="header"/>
    <w:basedOn w:val="Normal"/>
    <w:link w:val="EncabezadoCar"/>
    <w:uiPriority w:val="99"/>
    <w:semiHidden/>
    <w:unhideWhenUsed/>
    <w:rsid w:val="00F57C80"/>
    <w:pPr>
      <w:tabs>
        <w:tab w:val="center" w:pos="4419"/>
        <w:tab w:val="right" w:pos="8838"/>
      </w:tabs>
    </w:pPr>
  </w:style>
  <w:style w:type="character" w:customStyle="1" w:styleId="EncabezadoCar">
    <w:name w:val="Encabezado Car"/>
    <w:basedOn w:val="Fuentedeprrafopredeter"/>
    <w:link w:val="Encabezado"/>
    <w:uiPriority w:val="99"/>
    <w:semiHidden/>
    <w:rsid w:val="00F57C80"/>
    <w:rPr>
      <w:rFonts w:ascii="Calibri" w:eastAsia="Calibri" w:hAnsi="Calibri" w:cs="Times New Roman"/>
      <w:lang w:val="es-ES"/>
    </w:rPr>
  </w:style>
  <w:style w:type="paragraph" w:styleId="Piedepgina">
    <w:name w:val="footer"/>
    <w:basedOn w:val="Normal"/>
    <w:link w:val="PiedepginaCar"/>
    <w:uiPriority w:val="99"/>
    <w:unhideWhenUsed/>
    <w:rsid w:val="00F57C80"/>
    <w:pPr>
      <w:tabs>
        <w:tab w:val="center" w:pos="4419"/>
        <w:tab w:val="right" w:pos="8838"/>
      </w:tabs>
    </w:pPr>
  </w:style>
  <w:style w:type="character" w:customStyle="1" w:styleId="PiedepginaCar">
    <w:name w:val="Pie de página Car"/>
    <w:basedOn w:val="Fuentedeprrafopredeter"/>
    <w:link w:val="Piedepgina"/>
    <w:uiPriority w:val="99"/>
    <w:rsid w:val="00F57C80"/>
    <w:rPr>
      <w:rFonts w:ascii="Calibri" w:eastAsia="Calibri" w:hAnsi="Calibri" w:cs="Times New Roman"/>
      <w:lang w:val="es-ES"/>
    </w:rPr>
  </w:style>
  <w:style w:type="paragraph" w:styleId="TDC1">
    <w:name w:val="toc 1"/>
    <w:basedOn w:val="Normal"/>
    <w:next w:val="Normal"/>
    <w:autoRedefine/>
    <w:uiPriority w:val="39"/>
    <w:unhideWhenUsed/>
    <w:rsid w:val="00F34D8D"/>
    <w:pPr>
      <w:spacing w:after="100"/>
    </w:pPr>
  </w:style>
  <w:style w:type="paragraph" w:styleId="TDC2">
    <w:name w:val="toc 2"/>
    <w:basedOn w:val="Normal"/>
    <w:next w:val="Normal"/>
    <w:autoRedefine/>
    <w:uiPriority w:val="39"/>
    <w:unhideWhenUsed/>
    <w:rsid w:val="00F34D8D"/>
    <w:pPr>
      <w:spacing w:after="100"/>
      <w:ind w:left="220"/>
    </w:pPr>
  </w:style>
  <w:style w:type="paragraph" w:styleId="TDC3">
    <w:name w:val="toc 3"/>
    <w:basedOn w:val="Normal"/>
    <w:next w:val="Normal"/>
    <w:autoRedefine/>
    <w:uiPriority w:val="39"/>
    <w:unhideWhenUsed/>
    <w:rsid w:val="00F34D8D"/>
    <w:pPr>
      <w:spacing w:after="100"/>
      <w:ind w:left="440"/>
    </w:pPr>
  </w:style>
  <w:style w:type="paragraph" w:styleId="Tabladeilustraciones">
    <w:name w:val="table of figures"/>
    <w:basedOn w:val="Normal"/>
    <w:next w:val="Normal"/>
    <w:uiPriority w:val="99"/>
    <w:unhideWhenUsed/>
    <w:rsid w:val="00F34D8D"/>
  </w:style>
  <w:style w:type="paragraph" w:styleId="Asuntodelcomentario">
    <w:name w:val="annotation subject"/>
    <w:basedOn w:val="Textocomentario"/>
    <w:next w:val="Textocomentario"/>
    <w:link w:val="AsuntodelcomentarioCar"/>
    <w:uiPriority w:val="99"/>
    <w:semiHidden/>
    <w:unhideWhenUsed/>
    <w:rsid w:val="00F72D07"/>
    <w:rPr>
      <w:b/>
      <w:bCs/>
    </w:rPr>
  </w:style>
  <w:style w:type="character" w:customStyle="1" w:styleId="AsuntodelcomentarioCar">
    <w:name w:val="Asunto del comentario Car"/>
    <w:basedOn w:val="TextocomentarioCar"/>
    <w:link w:val="Asuntodelcomentario"/>
    <w:uiPriority w:val="99"/>
    <w:semiHidden/>
    <w:rsid w:val="00F72D07"/>
    <w:rPr>
      <w:rFonts w:ascii="Calibri" w:eastAsia="Calibri"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6512">
      <w:bodyDiv w:val="1"/>
      <w:marLeft w:val="0"/>
      <w:marRight w:val="0"/>
      <w:marTop w:val="0"/>
      <w:marBottom w:val="0"/>
      <w:divBdr>
        <w:top w:val="none" w:sz="0" w:space="0" w:color="auto"/>
        <w:left w:val="none" w:sz="0" w:space="0" w:color="auto"/>
        <w:bottom w:val="none" w:sz="0" w:space="0" w:color="auto"/>
        <w:right w:val="none" w:sz="0" w:space="0" w:color="auto"/>
      </w:divBdr>
    </w:div>
    <w:div w:id="379401915">
      <w:bodyDiv w:val="1"/>
      <w:marLeft w:val="0"/>
      <w:marRight w:val="0"/>
      <w:marTop w:val="0"/>
      <w:marBottom w:val="0"/>
      <w:divBdr>
        <w:top w:val="none" w:sz="0" w:space="0" w:color="auto"/>
        <w:left w:val="none" w:sz="0" w:space="0" w:color="auto"/>
        <w:bottom w:val="none" w:sz="0" w:space="0" w:color="auto"/>
        <w:right w:val="none" w:sz="0" w:space="0" w:color="auto"/>
      </w:divBdr>
    </w:div>
    <w:div w:id="451367916">
      <w:bodyDiv w:val="1"/>
      <w:marLeft w:val="0"/>
      <w:marRight w:val="0"/>
      <w:marTop w:val="0"/>
      <w:marBottom w:val="0"/>
      <w:divBdr>
        <w:top w:val="none" w:sz="0" w:space="0" w:color="auto"/>
        <w:left w:val="none" w:sz="0" w:space="0" w:color="auto"/>
        <w:bottom w:val="none" w:sz="0" w:space="0" w:color="auto"/>
        <w:right w:val="none" w:sz="0" w:space="0" w:color="auto"/>
      </w:divBdr>
    </w:div>
    <w:div w:id="1003388156">
      <w:bodyDiv w:val="1"/>
      <w:marLeft w:val="0"/>
      <w:marRight w:val="0"/>
      <w:marTop w:val="0"/>
      <w:marBottom w:val="0"/>
      <w:divBdr>
        <w:top w:val="none" w:sz="0" w:space="0" w:color="auto"/>
        <w:left w:val="none" w:sz="0" w:space="0" w:color="auto"/>
        <w:bottom w:val="none" w:sz="0" w:space="0" w:color="auto"/>
        <w:right w:val="none" w:sz="0" w:space="0" w:color="auto"/>
      </w:divBdr>
    </w:div>
    <w:div w:id="1107849076">
      <w:bodyDiv w:val="1"/>
      <w:marLeft w:val="0"/>
      <w:marRight w:val="0"/>
      <w:marTop w:val="0"/>
      <w:marBottom w:val="0"/>
      <w:divBdr>
        <w:top w:val="none" w:sz="0" w:space="0" w:color="auto"/>
        <w:left w:val="none" w:sz="0" w:space="0" w:color="auto"/>
        <w:bottom w:val="none" w:sz="0" w:space="0" w:color="auto"/>
        <w:right w:val="none" w:sz="0" w:space="0" w:color="auto"/>
      </w:divBdr>
    </w:div>
    <w:div w:id="1129132384">
      <w:bodyDiv w:val="1"/>
      <w:marLeft w:val="0"/>
      <w:marRight w:val="0"/>
      <w:marTop w:val="0"/>
      <w:marBottom w:val="0"/>
      <w:divBdr>
        <w:top w:val="none" w:sz="0" w:space="0" w:color="auto"/>
        <w:left w:val="none" w:sz="0" w:space="0" w:color="auto"/>
        <w:bottom w:val="none" w:sz="0" w:space="0" w:color="auto"/>
        <w:right w:val="none" w:sz="0" w:space="0" w:color="auto"/>
      </w:divBdr>
    </w:div>
    <w:div w:id="1662392098">
      <w:bodyDiv w:val="1"/>
      <w:marLeft w:val="0"/>
      <w:marRight w:val="0"/>
      <w:marTop w:val="0"/>
      <w:marBottom w:val="0"/>
      <w:divBdr>
        <w:top w:val="none" w:sz="0" w:space="0" w:color="auto"/>
        <w:left w:val="none" w:sz="0" w:space="0" w:color="auto"/>
        <w:bottom w:val="none" w:sz="0" w:space="0" w:color="auto"/>
        <w:right w:val="none" w:sz="0" w:space="0" w:color="auto"/>
      </w:divBdr>
    </w:div>
    <w:div w:id="1777023915">
      <w:bodyDiv w:val="1"/>
      <w:marLeft w:val="0"/>
      <w:marRight w:val="0"/>
      <w:marTop w:val="0"/>
      <w:marBottom w:val="0"/>
      <w:divBdr>
        <w:top w:val="none" w:sz="0" w:space="0" w:color="auto"/>
        <w:left w:val="none" w:sz="0" w:space="0" w:color="auto"/>
        <w:bottom w:val="none" w:sz="0" w:space="0" w:color="auto"/>
        <w:right w:val="none" w:sz="0" w:space="0" w:color="auto"/>
      </w:divBdr>
    </w:div>
    <w:div w:id="18640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5.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image" Target="media/image7.png"/><Relationship Id="rId47" Type="http://schemas.openxmlformats.org/officeDocument/2006/relationships/image" Target="media/image11.png"/><Relationship Id="rId50"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image" Target="media/image6.png"/><Relationship Id="rId46"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footer" Target="footer1.xml"/><Relationship Id="rId45"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image" Target="media/image9.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image" Target="media/image8.png"/><Relationship Id="rId48" Type="http://schemas.openxmlformats.org/officeDocument/2006/relationships/image" Target="media/image12.png"/><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abautista\0.%20Planes%20de%20empleo%20c\2.%20Bases%20de%20datos\HE.%20Instrumentos%20de%20Analisis\1.%20Piramide%20Poblaci&#243;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abautista\0.%20Planes%20de%20empleo%20c\2.%20Bases%20de%20datos\HE.%20Instrumentos%20de%20Analisis\1.%20Piramide%20Poblaci&#243;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abautista\0.%20Planes%20de%20empleo%20c\2.%20Bases%20de%20datos\HE.%20Instrumentos%20de%20Analisis\1.%20Piramide%20Poblaci&#243;n.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uario\Dropbox\FUPAD%202014\Tablas%20Dane%20con%20etiquetas.xlsm"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uario\Dropbox\FUPAD%202014\Tablas%20Dane%20con%20etiquetas.xlsm"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uario\Downloads\Descomposici&#243;n%20Efectos%20de%20Oferta%20y%20Demanda%20Laboral%20Anual%20por%20Departamento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uario\Downloads\Descomposici&#243;n%20Efectos%20de%20Oferta%20y%20Demanda%20Laboral%20Anual%20por%20Departamento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H:\Proyectos%20FUPAD\Documentos%20Word%20PDE\diagrama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Proyectos%20FUPAD\Documentos%20Word%20PDE\diagrama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abautista\0.%20Planes%20de%20empleo%20c\2.%20Bases%20de%20datos\HE.%20Instrumentos%20de%20Analisis\1.%20Piramide%20Poblaci&#243;n.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abautista\0.%20Planes%20de%20empleo%20c\2.%20Bases%20de%20datos\PIB%20DEPARTAMENTAL\Participaci&#243;n%20Valor%20Agregado.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Usuario\Downloads\Diagrama%20PIB%20con%20macros.xlsm"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oleObject" Target="file:///\\abautista\0.%20Planes%20de%20empleo%20c\2.%20Bases%20de%20datos\HE.%20Instrumentos%20de%20Analisis\1.%20Piramide%20Poblaci&#243;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abautista\0.%20Planes%20de%20empleo%20c\2.%20Bases%20de%20datos\HE.%20Instrumentos%20de%20Analisis\1.%20Piramide%20Poblaci&#243;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Hoja1!$K$13:$K$45</c:f>
              <c:strCache>
                <c:ptCount val="33"/>
                <c:pt idx="0">
                  <c:v>Bogota</c:v>
                </c:pt>
                <c:pt idx="1">
                  <c:v>San Andres</c:v>
                </c:pt>
                <c:pt idx="2">
                  <c:v>Atlántico</c:v>
                </c:pt>
                <c:pt idx="3">
                  <c:v>Quindio</c:v>
                </c:pt>
                <c:pt idx="4">
                  <c:v>Risaralda</c:v>
                </c:pt>
                <c:pt idx="5">
                  <c:v>Valle del Cauca</c:v>
                </c:pt>
                <c:pt idx="6">
                  <c:v>Caldas</c:v>
                </c:pt>
                <c:pt idx="7">
                  <c:v>Cundinamarca</c:v>
                </c:pt>
                <c:pt idx="8">
                  <c:v>Antioquia</c:v>
                </c:pt>
                <c:pt idx="9">
                  <c:v>Bolivar</c:v>
                </c:pt>
                <c:pt idx="10">
                  <c:v>Sucre</c:v>
                </c:pt>
                <c:pt idx="11">
                  <c:v>Santander</c:v>
                </c:pt>
                <c:pt idx="12">
                  <c:v>Córdoba</c:v>
                </c:pt>
                <c:pt idx="13">
                  <c:v>Norte de Santander</c:v>
                </c:pt>
                <c:pt idx="14">
                  <c:v>Tolima</c:v>
                </c:pt>
                <c:pt idx="15">
                  <c:v>Huila</c:v>
                </c:pt>
                <c:pt idx="16">
                  <c:v>Boyacá</c:v>
                </c:pt>
                <c:pt idx="17">
                  <c:v>Magdalena</c:v>
                </c:pt>
                <c:pt idx="18">
                  <c:v>Nariño</c:v>
                </c:pt>
                <c:pt idx="19">
                  <c:v>Cauca</c:v>
                </c:pt>
                <c:pt idx="20">
                  <c:v>Cesar</c:v>
                </c:pt>
                <c:pt idx="21">
                  <c:v>La Guajira</c:v>
                </c:pt>
                <c:pt idx="22">
                  <c:v>Putumayo</c:v>
                </c:pt>
                <c:pt idx="23">
                  <c:v>Arauca</c:v>
                </c:pt>
                <c:pt idx="24">
                  <c:v>Meta</c:v>
                </c:pt>
                <c:pt idx="25">
                  <c:v>Chocó</c:v>
                </c:pt>
                <c:pt idx="26">
                  <c:v>Casanare</c:v>
                </c:pt>
                <c:pt idx="27">
                  <c:v>Caquetá</c:v>
                </c:pt>
                <c:pt idx="28">
                  <c:v>Guaviare</c:v>
                </c:pt>
                <c:pt idx="29">
                  <c:v>Vaupes</c:v>
                </c:pt>
                <c:pt idx="30">
                  <c:v>Amazonas</c:v>
                </c:pt>
                <c:pt idx="31">
                  <c:v>Vichada</c:v>
                </c:pt>
                <c:pt idx="32">
                  <c:v>Guainia</c:v>
                </c:pt>
              </c:strCache>
            </c:strRef>
          </c:cat>
          <c:val>
            <c:numRef>
              <c:f>Hoja1!$L$13:$L$45</c:f>
              <c:numCache>
                <c:formatCode>_(* #,##0.0_);_(* \(#,##0.0\);_(* "-"??_);_(@_)</c:formatCode>
                <c:ptCount val="33"/>
                <c:pt idx="0">
                  <c:v>4717.3</c:v>
                </c:pt>
                <c:pt idx="1">
                  <c:v>1694.1</c:v>
                </c:pt>
                <c:pt idx="2">
                  <c:v>700.6</c:v>
                </c:pt>
                <c:pt idx="3">
                  <c:v>301.3</c:v>
                </c:pt>
                <c:pt idx="4">
                  <c:v>226.1</c:v>
                </c:pt>
                <c:pt idx="5">
                  <c:v>202.1</c:v>
                </c:pt>
                <c:pt idx="6">
                  <c:v>124.5</c:v>
                </c:pt>
                <c:pt idx="7">
                  <c:v>113.1</c:v>
                </c:pt>
                <c:pt idx="8">
                  <c:v>97.8</c:v>
                </c:pt>
                <c:pt idx="9">
                  <c:v>78</c:v>
                </c:pt>
                <c:pt idx="10">
                  <c:v>75.7</c:v>
                </c:pt>
                <c:pt idx="11">
                  <c:v>66.5</c:v>
                </c:pt>
                <c:pt idx="12">
                  <c:v>65.3</c:v>
                </c:pt>
                <c:pt idx="13">
                  <c:v>61</c:v>
                </c:pt>
                <c:pt idx="14">
                  <c:v>59.2</c:v>
                </c:pt>
                <c:pt idx="15">
                  <c:v>55.9</c:v>
                </c:pt>
                <c:pt idx="16">
                  <c:v>54.8</c:v>
                </c:pt>
                <c:pt idx="17">
                  <c:v>52.8</c:v>
                </c:pt>
                <c:pt idx="18">
                  <c:v>50.5</c:v>
                </c:pt>
                <c:pt idx="19">
                  <c:v>45.8</c:v>
                </c:pt>
                <c:pt idx="20">
                  <c:v>43.3</c:v>
                </c:pt>
                <c:pt idx="21">
                  <c:v>21.9</c:v>
                </c:pt>
                <c:pt idx="22">
                  <c:v>13.4</c:v>
                </c:pt>
                <c:pt idx="23">
                  <c:v>10.6</c:v>
                </c:pt>
                <c:pt idx="24">
                  <c:v>10.6</c:v>
                </c:pt>
                <c:pt idx="25">
                  <c:v>10.4</c:v>
                </c:pt>
                <c:pt idx="26">
                  <c:v>7.6</c:v>
                </c:pt>
                <c:pt idx="27">
                  <c:v>5.2</c:v>
                </c:pt>
                <c:pt idx="28">
                  <c:v>2</c:v>
                </c:pt>
                <c:pt idx="29">
                  <c:v>0.8</c:v>
                </c:pt>
                <c:pt idx="30">
                  <c:v>0.7</c:v>
                </c:pt>
                <c:pt idx="31">
                  <c:v>0.7</c:v>
                </c:pt>
                <c:pt idx="32">
                  <c:v>0.5</c:v>
                </c:pt>
              </c:numCache>
            </c:numRef>
          </c:val>
        </c:ser>
        <c:dLbls>
          <c:showLegendKey val="0"/>
          <c:showVal val="1"/>
          <c:showCatName val="0"/>
          <c:showSerName val="0"/>
          <c:showPercent val="0"/>
          <c:showBubbleSize val="0"/>
        </c:dLbls>
        <c:gapWidth val="75"/>
        <c:axId val="303314432"/>
        <c:axId val="321347968"/>
      </c:barChart>
      <c:catAx>
        <c:axId val="303314432"/>
        <c:scaling>
          <c:orientation val="minMax"/>
        </c:scaling>
        <c:delete val="0"/>
        <c:axPos val="b"/>
        <c:numFmt formatCode="General" sourceLinked="0"/>
        <c:majorTickMark val="none"/>
        <c:minorTickMark val="none"/>
        <c:tickLblPos val="nextTo"/>
        <c:crossAx val="321347968"/>
        <c:crosses val="autoZero"/>
        <c:auto val="1"/>
        <c:lblAlgn val="ctr"/>
        <c:lblOffset val="100"/>
        <c:noMultiLvlLbl val="0"/>
      </c:catAx>
      <c:valAx>
        <c:axId val="321347968"/>
        <c:scaling>
          <c:orientation val="minMax"/>
        </c:scaling>
        <c:delete val="0"/>
        <c:axPos val="l"/>
        <c:numFmt formatCode="_(* #,##0.0_);_(* \(#,##0.0\);_(* &quot;-&quot;??_);_(@_)" sourceLinked="1"/>
        <c:majorTickMark val="none"/>
        <c:minorTickMark val="none"/>
        <c:tickLblPos val="nextTo"/>
        <c:crossAx val="303314432"/>
        <c:crosses val="autoZero"/>
        <c:crossBetween val="between"/>
      </c:valAx>
    </c:plotArea>
    <c:plotVisOnly val="1"/>
    <c:dispBlanksAs val="gap"/>
    <c:showDLblsOverMax val="0"/>
  </c:chart>
  <c:spPr>
    <a:ln>
      <a:noFill/>
    </a:ln>
  </c:spPr>
  <c:txPr>
    <a:bodyPr/>
    <a:lstStyle/>
    <a:p>
      <a:pPr>
        <a:defRPr sz="600">
          <a:latin typeface="Arial" pitchFamily="34" charset="0"/>
          <a:cs typeface="Arial" pitchFamily="34" charset="0"/>
        </a:defRPr>
      </a:pPr>
      <a:endParaRPr lang="es-E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'Base para grafica'!$O$163</c:f>
              <c:strCache>
                <c:ptCount val="1"/>
                <c:pt idx="0">
                  <c:v>PEA</c:v>
                </c:pt>
              </c:strCache>
            </c:strRef>
          </c:tx>
          <c:marker>
            <c:symbol val="diamond"/>
            <c:size val="5"/>
          </c:marker>
          <c:dLbls>
            <c:dLbl>
              <c:idx val="0"/>
              <c:layout>
                <c:manualLayout>
                  <c:x val="-3.1103489667656449E-2"/>
                  <c:y val="-7.376955711056904E-2"/>
                </c:manualLayout>
              </c:layout>
              <c:showLegendKey val="0"/>
              <c:showVal val="1"/>
              <c:showCatName val="0"/>
              <c:showSerName val="0"/>
              <c:showPercent val="0"/>
              <c:showBubbleSize val="0"/>
            </c:dLbl>
            <c:dLbl>
              <c:idx val="1"/>
              <c:layout>
                <c:manualLayout>
                  <c:x val="-2.9159521563427947E-2"/>
                  <c:y val="-4.6591299227727832E-2"/>
                </c:manualLayout>
              </c:layout>
              <c:showLegendKey val="0"/>
              <c:showVal val="1"/>
              <c:showCatName val="0"/>
              <c:showSerName val="0"/>
              <c:showPercent val="0"/>
              <c:showBubbleSize val="0"/>
            </c:dLbl>
            <c:dLbl>
              <c:idx val="2"/>
              <c:layout>
                <c:manualLayout>
                  <c:x val="-3.1103489667656494E-2"/>
                  <c:y val="-4.6591299227727832E-2"/>
                </c:manualLayout>
              </c:layout>
              <c:showLegendKey val="0"/>
              <c:showVal val="1"/>
              <c:showCatName val="0"/>
              <c:showSerName val="0"/>
              <c:showPercent val="0"/>
              <c:showBubbleSize val="0"/>
            </c:dLbl>
            <c:dLbl>
              <c:idx val="3"/>
              <c:layout>
                <c:manualLayout>
                  <c:x val="-2.5271585354970882E-2"/>
                  <c:y val="-8.1534773648523753E-2"/>
                </c:manualLayout>
              </c:layout>
              <c:showLegendKey val="0"/>
              <c:showVal val="1"/>
              <c:showCatName val="0"/>
              <c:showSerName val="0"/>
              <c:showPercent val="0"/>
              <c:showBubbleSize val="0"/>
            </c:dLbl>
            <c:dLbl>
              <c:idx val="4"/>
              <c:layout>
                <c:manualLayout>
                  <c:x val="-2.915952156342793E-2"/>
                  <c:y val="-5.0473907496705127E-2"/>
                </c:manualLayout>
              </c:layout>
              <c:showLegendKey val="0"/>
              <c:showVal val="1"/>
              <c:showCatName val="0"/>
              <c:showSerName val="0"/>
              <c:showPercent val="0"/>
              <c:showBubbleSize val="0"/>
            </c:dLbl>
            <c:dLbl>
              <c:idx val="5"/>
              <c:layout>
                <c:manualLayout>
                  <c:x val="-3.8879362084570629E-2"/>
                  <c:y val="-5.8239124034659841E-2"/>
                </c:manualLayout>
              </c:layout>
              <c:showLegendKey val="0"/>
              <c:showVal val="1"/>
              <c:showCatName val="0"/>
              <c:showSerName val="0"/>
              <c:showPercent val="0"/>
              <c:showBubbleSize val="0"/>
            </c:dLbl>
            <c:dLbl>
              <c:idx val="6"/>
              <c:layout>
                <c:manualLayout>
                  <c:x val="-2.9159521563427999E-2"/>
                  <c:y val="-6.9886948841591842E-2"/>
                </c:manualLayout>
              </c:layout>
              <c:showLegendKey val="0"/>
              <c:showVal val="1"/>
              <c:showCatName val="0"/>
              <c:showSerName val="0"/>
              <c:showPercent val="0"/>
              <c:showBubbleSize val="0"/>
            </c:dLbl>
            <c:dLbl>
              <c:idx val="7"/>
              <c:layout>
                <c:manualLayout>
                  <c:x val="-2.5271585354970962E-2"/>
                  <c:y val="-6.2121732303637163E-2"/>
                </c:manualLayout>
              </c:layout>
              <c:showLegendKey val="0"/>
              <c:showVal val="1"/>
              <c:showCatName val="0"/>
              <c:showSerName val="0"/>
              <c:showPercent val="0"/>
              <c:showBubbleSize val="0"/>
            </c:dLbl>
            <c:dLbl>
              <c:idx val="10"/>
              <c:layout>
                <c:manualLayout>
                  <c:x val="-9.7198405211427925E-3"/>
                  <c:y val="3.10608661518185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'Base para grafica'!$P$162:$AA$162</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'Base para grafica'!$P$163:$AA$163</c:f>
              <c:numCache>
                <c:formatCode>General</c:formatCode>
                <c:ptCount val="12"/>
                <c:pt idx="0">
                  <c:v>727</c:v>
                </c:pt>
                <c:pt idx="1">
                  <c:v>698</c:v>
                </c:pt>
                <c:pt idx="2">
                  <c:v>709</c:v>
                </c:pt>
                <c:pt idx="3">
                  <c:v>727</c:v>
                </c:pt>
                <c:pt idx="4">
                  <c:v>741</c:v>
                </c:pt>
                <c:pt idx="5">
                  <c:v>756</c:v>
                </c:pt>
                <c:pt idx="6">
                  <c:v>789</c:v>
                </c:pt>
                <c:pt idx="7">
                  <c:v>733</c:v>
                </c:pt>
                <c:pt idx="8">
                  <c:v>773</c:v>
                </c:pt>
                <c:pt idx="9">
                  <c:v>817</c:v>
                </c:pt>
                <c:pt idx="10">
                  <c:v>893</c:v>
                </c:pt>
                <c:pt idx="11">
                  <c:v>928</c:v>
                </c:pt>
              </c:numCache>
            </c:numRef>
          </c:val>
          <c:smooth val="0"/>
        </c:ser>
        <c:ser>
          <c:idx val="1"/>
          <c:order val="1"/>
          <c:tx>
            <c:strRef>
              <c:f>'Base para grafica'!$O$164</c:f>
              <c:strCache>
                <c:ptCount val="1"/>
                <c:pt idx="0">
                  <c:v>PEI</c:v>
                </c:pt>
              </c:strCache>
            </c:strRef>
          </c:tx>
          <c:marker>
            <c:symbol val="circle"/>
            <c:size val="5"/>
          </c:marker>
          <c:dLbls>
            <c:dLbl>
              <c:idx val="1"/>
              <c:layout>
                <c:manualLayout>
                  <c:x val="-1.7495712938056737E-2"/>
                  <c:y val="3.4943474420795748E-2"/>
                </c:manualLayout>
              </c:layout>
              <c:showLegendKey val="0"/>
              <c:showVal val="1"/>
              <c:showCatName val="0"/>
              <c:showSerName val="0"/>
              <c:showPercent val="0"/>
              <c:showBubbleSize val="0"/>
            </c:dLbl>
            <c:dLbl>
              <c:idx val="2"/>
              <c:layout>
                <c:manualLayout>
                  <c:x val="-1.5551744833828231E-2"/>
                  <c:y val="4.6591299227727832E-2"/>
                </c:manualLayout>
              </c:layout>
              <c:showLegendKey val="0"/>
              <c:showVal val="1"/>
              <c:showCatName val="0"/>
              <c:showSerName val="0"/>
              <c:showPercent val="0"/>
              <c:showBubbleSize val="0"/>
            </c:dLbl>
            <c:dLbl>
              <c:idx val="3"/>
              <c:layout>
                <c:manualLayout>
                  <c:x val="-1.3607776729599735E-2"/>
                  <c:y val="5.4356515765682463E-2"/>
                </c:manualLayout>
              </c:layout>
              <c:showLegendKey val="0"/>
              <c:showVal val="1"/>
              <c:showCatName val="0"/>
              <c:showSerName val="0"/>
              <c:showPercent val="0"/>
              <c:showBubbleSize val="0"/>
            </c:dLbl>
            <c:dLbl>
              <c:idx val="4"/>
              <c:layout>
                <c:manualLayout>
                  <c:x val="-1.9439681042285373E-2"/>
                  <c:y val="5.8239124034659771E-2"/>
                </c:manualLayout>
              </c:layout>
              <c:showLegendKey val="0"/>
              <c:showVal val="1"/>
              <c:showCatName val="0"/>
              <c:showSerName val="0"/>
              <c:showPercent val="0"/>
              <c:showBubbleSize val="0"/>
            </c:dLbl>
            <c:dLbl>
              <c:idx val="5"/>
              <c:layout>
                <c:manualLayout>
                  <c:x val="-2.5271585354970882E-2"/>
                  <c:y val="6.2121732303637024E-2"/>
                </c:manualLayout>
              </c:layout>
              <c:showLegendKey val="0"/>
              <c:showVal val="1"/>
              <c:showCatName val="0"/>
              <c:showSerName val="0"/>
              <c:showPercent val="0"/>
              <c:showBubbleSize val="0"/>
            </c:dLbl>
            <c:dLbl>
              <c:idx val="6"/>
              <c:layout>
                <c:manualLayout>
                  <c:x val="-1.1663808625371254E-2"/>
                  <c:y val="3.8826082689773209E-2"/>
                </c:manualLayout>
              </c:layout>
              <c:showLegendKey val="0"/>
              <c:showVal val="1"/>
              <c:showCatName val="0"/>
              <c:showSerName val="0"/>
              <c:showPercent val="0"/>
              <c:showBubbleSize val="0"/>
            </c:dLbl>
            <c:dLbl>
              <c:idx val="7"/>
              <c:layout>
                <c:manualLayout>
                  <c:x val="-1.36077767295997E-2"/>
                  <c:y val="8.1534773648523698E-2"/>
                </c:manualLayout>
              </c:layout>
              <c:showLegendKey val="0"/>
              <c:showVal val="1"/>
              <c:showCatName val="0"/>
              <c:showSerName val="0"/>
              <c:showPercent val="0"/>
              <c:showBubbleSize val="0"/>
            </c:dLbl>
            <c:dLbl>
              <c:idx val="8"/>
              <c:layout>
                <c:manualLayout>
                  <c:x val="-1.3607776729599771E-2"/>
                  <c:y val="-5.0473907496705224E-2"/>
                </c:manualLayout>
              </c:layout>
              <c:showLegendKey val="0"/>
              <c:showVal val="1"/>
              <c:showCatName val="0"/>
              <c:showSerName val="0"/>
              <c:showPercent val="0"/>
              <c:showBubbleSize val="0"/>
            </c:dLbl>
            <c:dLbl>
              <c:idx val="9"/>
              <c:layout>
                <c:manualLayout>
                  <c:x val="-2.3327617250742338E-2"/>
                  <c:y val="-6.6004340572614395E-2"/>
                </c:manualLayout>
              </c:layout>
              <c:showLegendKey val="0"/>
              <c:showVal val="1"/>
              <c:showCatName val="0"/>
              <c:showSerName val="0"/>
              <c:showPercent val="0"/>
              <c:showBubbleSize val="0"/>
            </c:dLbl>
            <c:dLbl>
              <c:idx val="10"/>
              <c:layout>
                <c:manualLayout>
                  <c:x val="-1.5551744833828375E-2"/>
                  <c:y val="-7.376955711056910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'Base para grafica'!$P$162:$AA$162</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'Base para grafica'!$P$164:$AA$164</c:f>
              <c:numCache>
                <c:formatCode>General</c:formatCode>
                <c:ptCount val="12"/>
                <c:pt idx="0">
                  <c:v>588</c:v>
                </c:pt>
                <c:pt idx="1">
                  <c:v>636</c:v>
                </c:pt>
                <c:pt idx="2">
                  <c:v>643</c:v>
                </c:pt>
                <c:pt idx="3">
                  <c:v>645</c:v>
                </c:pt>
                <c:pt idx="4">
                  <c:v>651</c:v>
                </c:pt>
                <c:pt idx="5">
                  <c:v>657</c:v>
                </c:pt>
                <c:pt idx="6">
                  <c:v>646</c:v>
                </c:pt>
                <c:pt idx="7">
                  <c:v>724</c:v>
                </c:pt>
                <c:pt idx="8">
                  <c:v>708</c:v>
                </c:pt>
                <c:pt idx="9">
                  <c:v>688</c:v>
                </c:pt>
                <c:pt idx="10">
                  <c:v>636</c:v>
                </c:pt>
                <c:pt idx="11">
                  <c:v>625</c:v>
                </c:pt>
              </c:numCache>
            </c:numRef>
          </c:val>
          <c:smooth val="0"/>
        </c:ser>
        <c:dLbls>
          <c:showLegendKey val="0"/>
          <c:showVal val="1"/>
          <c:showCatName val="0"/>
          <c:showSerName val="0"/>
          <c:showPercent val="0"/>
          <c:showBubbleSize val="0"/>
        </c:dLbls>
        <c:marker val="1"/>
        <c:smooth val="0"/>
        <c:axId val="284282880"/>
        <c:axId val="284284416"/>
      </c:lineChart>
      <c:catAx>
        <c:axId val="284282880"/>
        <c:scaling>
          <c:orientation val="minMax"/>
        </c:scaling>
        <c:delete val="0"/>
        <c:axPos val="b"/>
        <c:numFmt formatCode="General" sourceLinked="1"/>
        <c:majorTickMark val="none"/>
        <c:minorTickMark val="none"/>
        <c:tickLblPos val="nextTo"/>
        <c:crossAx val="284284416"/>
        <c:crosses val="autoZero"/>
        <c:auto val="1"/>
        <c:lblAlgn val="ctr"/>
        <c:lblOffset val="100"/>
        <c:noMultiLvlLbl val="0"/>
      </c:catAx>
      <c:valAx>
        <c:axId val="284284416"/>
        <c:scaling>
          <c:orientation val="minMax"/>
          <c:min val="500"/>
        </c:scaling>
        <c:delete val="0"/>
        <c:axPos val="l"/>
        <c:majorGridlines/>
        <c:numFmt formatCode="General" sourceLinked="1"/>
        <c:majorTickMark val="none"/>
        <c:minorTickMark val="none"/>
        <c:tickLblPos val="nextTo"/>
        <c:crossAx val="2842828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'Base para grafica'!$M$185</c:f>
              <c:strCache>
                <c:ptCount val="1"/>
                <c:pt idx="0">
                  <c:v>TGP Nacional</c:v>
                </c:pt>
              </c:strCache>
            </c:strRef>
          </c:tx>
          <c:marker>
            <c:symbol val="square"/>
            <c:size val="5"/>
          </c:marker>
          <c:cat>
            <c:numRef>
              <c:f>'Base para grafica'!$N$184:$Z$184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'Base para grafica'!$N$185:$W$185</c:f>
              <c:numCache>
                <c:formatCode>General</c:formatCode>
                <c:ptCount val="10"/>
                <c:pt idx="0">
                  <c:v>62.4</c:v>
                </c:pt>
                <c:pt idx="1">
                  <c:v>62.3</c:v>
                </c:pt>
                <c:pt idx="2">
                  <c:v>62.8</c:v>
                </c:pt>
                <c:pt idx="3">
                  <c:v>61.5</c:v>
                </c:pt>
                <c:pt idx="4">
                  <c:v>60.5</c:v>
                </c:pt>
                <c:pt idx="5">
                  <c:v>59.1</c:v>
                </c:pt>
                <c:pt idx="6">
                  <c:v>58.3</c:v>
                </c:pt>
                <c:pt idx="7">
                  <c:v>58.5</c:v>
                </c:pt>
                <c:pt idx="8">
                  <c:v>61.3</c:v>
                </c:pt>
                <c:pt idx="9">
                  <c:v>62.7</c:v>
                </c:pt>
              </c:numCache>
            </c:numRef>
          </c:val>
          <c:smooth val="1"/>
        </c:ser>
        <c:ser>
          <c:idx val="1"/>
          <c:order val="1"/>
          <c:tx>
            <c:strRef>
              <c:f>'Base para grafica'!$M$186</c:f>
              <c:strCache>
                <c:ptCount val="1"/>
                <c:pt idx="0">
                  <c:v>TGP Bolivar</c:v>
                </c:pt>
              </c:strCache>
            </c:strRef>
          </c:tx>
          <c:marker>
            <c:symbol val="square"/>
            <c:size val="5"/>
          </c:marker>
          <c:cat>
            <c:numRef>
              <c:f>'Base para grafica'!$N$184:$Z$184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'Base para grafica'!$N$186:$W$186</c:f>
              <c:numCache>
                <c:formatCode>General</c:formatCode>
                <c:ptCount val="10"/>
                <c:pt idx="0">
                  <c:v>55.3</c:v>
                </c:pt>
                <c:pt idx="1">
                  <c:v>52.4</c:v>
                </c:pt>
                <c:pt idx="2">
                  <c:v>52.4</c:v>
                </c:pt>
                <c:pt idx="3">
                  <c:v>53</c:v>
                </c:pt>
                <c:pt idx="4">
                  <c:v>52.7</c:v>
                </c:pt>
                <c:pt idx="5">
                  <c:v>53.5</c:v>
                </c:pt>
                <c:pt idx="6">
                  <c:v>55</c:v>
                </c:pt>
                <c:pt idx="7">
                  <c:v>49.7</c:v>
                </c:pt>
                <c:pt idx="8">
                  <c:v>52.5</c:v>
                </c:pt>
                <c:pt idx="9">
                  <c:v>54.3</c:v>
                </c:pt>
              </c:numCache>
            </c:numRef>
          </c:val>
          <c:smooth val="1"/>
        </c:ser>
        <c:ser>
          <c:idx val="2"/>
          <c:order val="2"/>
          <c:tx>
            <c:strRef>
              <c:f>'Base para grafica'!$M$187</c:f>
              <c:strCache>
                <c:ptCount val="1"/>
                <c:pt idx="0">
                  <c:v>TGP Cartagena</c:v>
                </c:pt>
              </c:strCache>
            </c:strRef>
          </c:tx>
          <c:marker>
            <c:symbol val="square"/>
            <c:size val="5"/>
          </c:marker>
          <c:cat>
            <c:numRef>
              <c:f>'Base para grafica'!$N$184:$Z$184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'Base para grafica'!$N$187:$W$187</c:f>
              <c:numCache>
                <c:formatCode>General</c:formatCode>
                <c:ptCount val="10"/>
                <c:pt idx="0">
                  <c:v>56.6</c:v>
                </c:pt>
                <c:pt idx="1">
                  <c:v>53.6</c:v>
                </c:pt>
                <c:pt idx="2">
                  <c:v>54.1</c:v>
                </c:pt>
                <c:pt idx="3">
                  <c:v>53.5</c:v>
                </c:pt>
                <c:pt idx="4">
                  <c:v>53.2</c:v>
                </c:pt>
                <c:pt idx="5">
                  <c:v>55.4</c:v>
                </c:pt>
                <c:pt idx="6">
                  <c:v>58.3</c:v>
                </c:pt>
                <c:pt idx="7">
                  <c:v>53.1</c:v>
                </c:pt>
                <c:pt idx="8">
                  <c:v>56.8</c:v>
                </c:pt>
                <c:pt idx="9">
                  <c:v>56.5</c:v>
                </c:pt>
              </c:numCache>
            </c:numRef>
          </c:val>
          <c:smooth val="1"/>
        </c:ser>
        <c:dLbls>
          <c:showLegendKey val="0"/>
          <c:showVal val="0"/>
          <c:showCatName val="0"/>
          <c:showSerName val="0"/>
          <c:showPercent val="0"/>
          <c:showBubbleSize val="0"/>
        </c:dLbls>
        <c:marker val="1"/>
        <c:smooth val="0"/>
        <c:axId val="284379776"/>
        <c:axId val="284389760"/>
      </c:lineChart>
      <c:catAx>
        <c:axId val="284379776"/>
        <c:scaling>
          <c:orientation val="minMax"/>
        </c:scaling>
        <c:delete val="0"/>
        <c:axPos val="b"/>
        <c:numFmt formatCode="General" sourceLinked="1"/>
        <c:majorTickMark val="out"/>
        <c:minorTickMark val="none"/>
        <c:tickLblPos val="nextTo"/>
        <c:crossAx val="284389760"/>
        <c:crosses val="autoZero"/>
        <c:auto val="1"/>
        <c:lblAlgn val="ctr"/>
        <c:lblOffset val="100"/>
        <c:noMultiLvlLbl val="0"/>
      </c:catAx>
      <c:valAx>
        <c:axId val="284389760"/>
        <c:scaling>
          <c:orientation val="minMax"/>
          <c:min val="48"/>
        </c:scaling>
        <c:delete val="0"/>
        <c:axPos val="l"/>
        <c:majorGridlines/>
        <c:numFmt formatCode="General" sourceLinked="1"/>
        <c:majorTickMark val="out"/>
        <c:minorTickMark val="none"/>
        <c:tickLblPos val="nextTo"/>
        <c:crossAx val="284379776"/>
        <c:crosses val="autoZero"/>
        <c:crossBetween val="between"/>
      </c:valAx>
    </c:plotArea>
    <c:legend>
      <c:legendPos val="r"/>
      <c:overlay val="0"/>
    </c:legend>
    <c:plotVisOnly val="1"/>
    <c:dispBlanksAs val="gap"/>
    <c:showDLblsOverMax val="0"/>
  </c:chart>
  <c:spPr>
    <a:ln>
      <a:noFill/>
    </a:ln>
  </c:spPr>
  <c:txPr>
    <a:bodyPr/>
    <a:lstStyle/>
    <a:p>
      <a:pPr>
        <a:defRPr sz="700">
          <a:latin typeface="Arial" pitchFamily="34" charset="0"/>
          <a:cs typeface="Arial" pitchFamily="34" charset="0"/>
        </a:defRPr>
      </a:pPr>
      <a:endParaRPr lang="es-E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39446965724193"/>
          <c:y val="0.1360544217687075"/>
          <c:w val="0.68250508160164158"/>
          <c:h val="0.76627425345416822"/>
        </c:manualLayout>
      </c:layout>
      <c:barChart>
        <c:barDir val="bar"/>
        <c:grouping val="clustered"/>
        <c:varyColors val="0"/>
        <c:ser>
          <c:idx val="0"/>
          <c:order val="0"/>
          <c:tx>
            <c:strRef>
              <c:f>Hoja1!$L$130</c:f>
              <c:strCache>
                <c:ptCount val="1"/>
                <c:pt idx="0">
                  <c:v>2011</c:v>
                </c:pt>
              </c:strCache>
            </c:strRef>
          </c:tx>
          <c:invertIfNegative val="0"/>
          <c:cat>
            <c:strRef>
              <c:f>Hoja1!$K$131:$K$143</c:f>
              <c:strCache>
                <c:ptCount val="13"/>
                <c:pt idx="0">
                  <c:v>Bogota</c:v>
                </c:pt>
                <c:pt idx="1">
                  <c:v>Bucaramanga</c:v>
                </c:pt>
                <c:pt idx="2">
                  <c:v>Cúcuta</c:v>
                </c:pt>
                <c:pt idx="3">
                  <c:v>Monteria</c:v>
                </c:pt>
                <c:pt idx="4">
                  <c:v>Villavicencio</c:v>
                </c:pt>
                <c:pt idx="5">
                  <c:v>Ibague</c:v>
                </c:pt>
                <c:pt idx="6">
                  <c:v>Pasto</c:v>
                </c:pt>
                <c:pt idx="7">
                  <c:v>Pereira</c:v>
                </c:pt>
                <c:pt idx="8">
                  <c:v>Cali</c:v>
                </c:pt>
                <c:pt idx="9">
                  <c:v>Medellin</c:v>
                </c:pt>
                <c:pt idx="10">
                  <c:v>Cartagena</c:v>
                </c:pt>
                <c:pt idx="11">
                  <c:v>Barranquilla</c:v>
                </c:pt>
                <c:pt idx="12">
                  <c:v>Manizales</c:v>
                </c:pt>
              </c:strCache>
            </c:strRef>
          </c:cat>
          <c:val>
            <c:numRef>
              <c:f>Hoja1!$L$131:$L$143</c:f>
              <c:numCache>
                <c:formatCode>General</c:formatCode>
                <c:ptCount val="13"/>
                <c:pt idx="0">
                  <c:v>70.3</c:v>
                </c:pt>
                <c:pt idx="1">
                  <c:v>68.8</c:v>
                </c:pt>
                <c:pt idx="2">
                  <c:v>66.5</c:v>
                </c:pt>
                <c:pt idx="3">
                  <c:v>67.900000000000006</c:v>
                </c:pt>
                <c:pt idx="4">
                  <c:v>65.2</c:v>
                </c:pt>
                <c:pt idx="5">
                  <c:v>68.599999999999994</c:v>
                </c:pt>
                <c:pt idx="6">
                  <c:v>65.3</c:v>
                </c:pt>
                <c:pt idx="7">
                  <c:v>65.7</c:v>
                </c:pt>
                <c:pt idx="8">
                  <c:v>64.900000000000006</c:v>
                </c:pt>
                <c:pt idx="9">
                  <c:v>63.1</c:v>
                </c:pt>
                <c:pt idx="10">
                  <c:v>58</c:v>
                </c:pt>
                <c:pt idx="11">
                  <c:v>59.3</c:v>
                </c:pt>
                <c:pt idx="12">
                  <c:v>58.8</c:v>
                </c:pt>
              </c:numCache>
            </c:numRef>
          </c:val>
        </c:ser>
        <c:ser>
          <c:idx val="1"/>
          <c:order val="1"/>
          <c:tx>
            <c:strRef>
              <c:f>Hoja1!$M$130</c:f>
              <c:strCache>
                <c:ptCount val="1"/>
                <c:pt idx="0">
                  <c:v>2012</c:v>
                </c:pt>
              </c:strCache>
            </c:strRef>
          </c:tx>
          <c:invertIfNegative val="0"/>
          <c:cat>
            <c:strRef>
              <c:f>Hoja1!$K$131:$K$143</c:f>
              <c:strCache>
                <c:ptCount val="13"/>
                <c:pt idx="0">
                  <c:v>Bogota</c:v>
                </c:pt>
                <c:pt idx="1">
                  <c:v>Bucaramanga</c:v>
                </c:pt>
                <c:pt idx="2">
                  <c:v>Cúcuta</c:v>
                </c:pt>
                <c:pt idx="3">
                  <c:v>Monteria</c:v>
                </c:pt>
                <c:pt idx="4">
                  <c:v>Villavicencio</c:v>
                </c:pt>
                <c:pt idx="5">
                  <c:v>Ibague</c:v>
                </c:pt>
                <c:pt idx="6">
                  <c:v>Pasto</c:v>
                </c:pt>
                <c:pt idx="7">
                  <c:v>Pereira</c:v>
                </c:pt>
                <c:pt idx="8">
                  <c:v>Cali</c:v>
                </c:pt>
                <c:pt idx="9">
                  <c:v>Medellin</c:v>
                </c:pt>
                <c:pt idx="10">
                  <c:v>Cartagena</c:v>
                </c:pt>
                <c:pt idx="11">
                  <c:v>Barranquilla</c:v>
                </c:pt>
                <c:pt idx="12">
                  <c:v>Manizales</c:v>
                </c:pt>
              </c:strCache>
            </c:strRef>
          </c:cat>
          <c:val>
            <c:numRef>
              <c:f>Hoja1!$M$131:$M$143</c:f>
              <c:numCache>
                <c:formatCode>General</c:formatCode>
                <c:ptCount val="13"/>
                <c:pt idx="0">
                  <c:v>71.3</c:v>
                </c:pt>
                <c:pt idx="1">
                  <c:v>69.7</c:v>
                </c:pt>
                <c:pt idx="2">
                  <c:v>68.099999999999994</c:v>
                </c:pt>
                <c:pt idx="3">
                  <c:v>67.599999999999994</c:v>
                </c:pt>
                <c:pt idx="4">
                  <c:v>67.2</c:v>
                </c:pt>
                <c:pt idx="5">
                  <c:v>67.099999999999994</c:v>
                </c:pt>
                <c:pt idx="6">
                  <c:v>66.599999999999994</c:v>
                </c:pt>
                <c:pt idx="7">
                  <c:v>65.5</c:v>
                </c:pt>
                <c:pt idx="8">
                  <c:v>64.8</c:v>
                </c:pt>
                <c:pt idx="9">
                  <c:v>64.8</c:v>
                </c:pt>
                <c:pt idx="10">
                  <c:v>60.6</c:v>
                </c:pt>
                <c:pt idx="11">
                  <c:v>58.8</c:v>
                </c:pt>
                <c:pt idx="12">
                  <c:v>58.1</c:v>
                </c:pt>
              </c:numCache>
            </c:numRef>
          </c:val>
        </c:ser>
        <c:dLbls>
          <c:showLegendKey val="0"/>
          <c:showVal val="1"/>
          <c:showCatName val="0"/>
          <c:showSerName val="0"/>
          <c:showPercent val="0"/>
          <c:showBubbleSize val="0"/>
        </c:dLbls>
        <c:gapWidth val="75"/>
        <c:axId val="284411776"/>
        <c:axId val="284413312"/>
      </c:barChart>
      <c:catAx>
        <c:axId val="284411776"/>
        <c:scaling>
          <c:orientation val="minMax"/>
        </c:scaling>
        <c:delete val="0"/>
        <c:axPos val="l"/>
        <c:majorTickMark val="none"/>
        <c:minorTickMark val="none"/>
        <c:tickLblPos val="nextTo"/>
        <c:crossAx val="284413312"/>
        <c:crosses val="autoZero"/>
        <c:auto val="1"/>
        <c:lblAlgn val="ctr"/>
        <c:lblOffset val="100"/>
        <c:noMultiLvlLbl val="0"/>
      </c:catAx>
      <c:valAx>
        <c:axId val="284413312"/>
        <c:scaling>
          <c:orientation val="minMax"/>
        </c:scaling>
        <c:delete val="0"/>
        <c:axPos val="b"/>
        <c:numFmt formatCode="General" sourceLinked="1"/>
        <c:majorTickMark val="none"/>
        <c:minorTickMark val="none"/>
        <c:tickLblPos val="nextTo"/>
        <c:crossAx val="284411776"/>
        <c:crosses val="autoZero"/>
        <c:crossBetween val="between"/>
      </c:valAx>
    </c:plotArea>
    <c:legend>
      <c:legendPos val="b"/>
      <c:layout>
        <c:manualLayout>
          <c:xMode val="edge"/>
          <c:yMode val="edge"/>
          <c:x val="0.38360468099382361"/>
          <c:y val="3.4357610060647185E-2"/>
          <c:w val="0.23279091866145676"/>
          <c:h val="6.3658312552200808E-2"/>
        </c:manualLayout>
      </c:layout>
      <c:overlay val="0"/>
    </c:legend>
    <c:plotVisOnly val="1"/>
    <c:dispBlanksAs val="gap"/>
    <c:showDLblsOverMax val="0"/>
  </c:chart>
  <c:spPr>
    <a:ln>
      <a:noFill/>
    </a:ln>
  </c:spPr>
  <c:txPr>
    <a:bodyPr/>
    <a:lstStyle/>
    <a:p>
      <a:pPr>
        <a:defRPr sz="600">
          <a:latin typeface="Arial" panose="020B0604020202020204" pitchFamily="34" charset="0"/>
          <a:cs typeface="Arial" panose="020B0604020202020204" pitchFamily="34" charset="0"/>
        </a:defRPr>
      </a:pPr>
      <a:endParaRPr lang="es-E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tx>
            <c:strRef>
              <c:f>Hoja1!$P$130</c:f>
              <c:strCache>
                <c:ptCount val="1"/>
                <c:pt idx="0">
                  <c:v>2011</c:v>
                </c:pt>
              </c:strCache>
            </c:strRef>
          </c:tx>
          <c:invertIfNegative val="0"/>
          <c:cat>
            <c:strRef>
              <c:f>Hoja1!$O$131:$O$138</c:f>
              <c:strCache>
                <c:ptCount val="8"/>
                <c:pt idx="0">
                  <c:v>Nacional</c:v>
                </c:pt>
                <c:pt idx="1">
                  <c:v>la Guajira</c:v>
                </c:pt>
                <c:pt idx="2">
                  <c:v>Córdoba</c:v>
                </c:pt>
                <c:pt idx="3">
                  <c:v>Bolivar</c:v>
                </c:pt>
                <c:pt idx="4">
                  <c:v>Atlántico</c:v>
                </c:pt>
                <c:pt idx="5">
                  <c:v>Sucre</c:v>
                </c:pt>
                <c:pt idx="6">
                  <c:v>Cesar</c:v>
                </c:pt>
                <c:pt idx="7">
                  <c:v>Magdalena</c:v>
                </c:pt>
              </c:strCache>
            </c:strRef>
          </c:cat>
          <c:val>
            <c:numRef>
              <c:f>Hoja1!$P$131:$P$138</c:f>
              <c:numCache>
                <c:formatCode>General</c:formatCode>
                <c:ptCount val="8"/>
                <c:pt idx="0">
                  <c:v>63.7</c:v>
                </c:pt>
                <c:pt idx="1">
                  <c:v>63</c:v>
                </c:pt>
                <c:pt idx="2">
                  <c:v>65.599999999999994</c:v>
                </c:pt>
                <c:pt idx="3">
                  <c:v>58.4</c:v>
                </c:pt>
                <c:pt idx="4">
                  <c:v>59</c:v>
                </c:pt>
                <c:pt idx="5">
                  <c:v>55.5</c:v>
                </c:pt>
                <c:pt idx="6">
                  <c:v>56.4</c:v>
                </c:pt>
                <c:pt idx="7">
                  <c:v>55.3</c:v>
                </c:pt>
              </c:numCache>
            </c:numRef>
          </c:val>
        </c:ser>
        <c:ser>
          <c:idx val="1"/>
          <c:order val="1"/>
          <c:tx>
            <c:strRef>
              <c:f>Hoja1!$Q$130</c:f>
              <c:strCache>
                <c:ptCount val="1"/>
                <c:pt idx="0">
                  <c:v>2012</c:v>
                </c:pt>
              </c:strCache>
            </c:strRef>
          </c:tx>
          <c:invertIfNegative val="0"/>
          <c:cat>
            <c:strRef>
              <c:f>Hoja1!$O$131:$O$138</c:f>
              <c:strCache>
                <c:ptCount val="8"/>
                <c:pt idx="0">
                  <c:v>Nacional</c:v>
                </c:pt>
                <c:pt idx="1">
                  <c:v>la Guajira</c:v>
                </c:pt>
                <c:pt idx="2">
                  <c:v>Córdoba</c:v>
                </c:pt>
                <c:pt idx="3">
                  <c:v>Bolivar</c:v>
                </c:pt>
                <c:pt idx="4">
                  <c:v>Atlántico</c:v>
                </c:pt>
                <c:pt idx="5">
                  <c:v>Sucre</c:v>
                </c:pt>
                <c:pt idx="6">
                  <c:v>Cesar</c:v>
                </c:pt>
                <c:pt idx="7">
                  <c:v>Magdalena</c:v>
                </c:pt>
              </c:strCache>
            </c:strRef>
          </c:cat>
          <c:val>
            <c:numRef>
              <c:f>Hoja1!$Q$131:$Q$138</c:f>
              <c:numCache>
                <c:formatCode>General</c:formatCode>
                <c:ptCount val="8"/>
                <c:pt idx="0">
                  <c:v>64.599999999999994</c:v>
                </c:pt>
                <c:pt idx="1">
                  <c:v>71.7</c:v>
                </c:pt>
                <c:pt idx="2">
                  <c:v>63.3</c:v>
                </c:pt>
                <c:pt idx="3">
                  <c:v>59.8</c:v>
                </c:pt>
                <c:pt idx="4">
                  <c:v>59.6</c:v>
                </c:pt>
                <c:pt idx="5">
                  <c:v>59.1</c:v>
                </c:pt>
                <c:pt idx="6">
                  <c:v>57.4</c:v>
                </c:pt>
                <c:pt idx="7">
                  <c:v>57.1</c:v>
                </c:pt>
              </c:numCache>
            </c:numRef>
          </c:val>
        </c:ser>
        <c:dLbls>
          <c:showLegendKey val="0"/>
          <c:showVal val="1"/>
          <c:showCatName val="0"/>
          <c:showSerName val="0"/>
          <c:showPercent val="0"/>
          <c:showBubbleSize val="0"/>
        </c:dLbls>
        <c:gapWidth val="150"/>
        <c:overlap val="-25"/>
        <c:axId val="284689536"/>
        <c:axId val="284691072"/>
      </c:barChart>
      <c:catAx>
        <c:axId val="284689536"/>
        <c:scaling>
          <c:orientation val="minMax"/>
        </c:scaling>
        <c:delete val="0"/>
        <c:axPos val="l"/>
        <c:majorTickMark val="none"/>
        <c:minorTickMark val="none"/>
        <c:tickLblPos val="nextTo"/>
        <c:crossAx val="284691072"/>
        <c:crosses val="autoZero"/>
        <c:auto val="1"/>
        <c:lblAlgn val="ctr"/>
        <c:lblOffset val="100"/>
        <c:noMultiLvlLbl val="0"/>
      </c:catAx>
      <c:valAx>
        <c:axId val="284691072"/>
        <c:scaling>
          <c:orientation val="minMax"/>
        </c:scaling>
        <c:delete val="1"/>
        <c:axPos val="b"/>
        <c:numFmt formatCode="General" sourceLinked="1"/>
        <c:majorTickMark val="out"/>
        <c:minorTickMark val="none"/>
        <c:tickLblPos val="none"/>
        <c:crossAx val="284689536"/>
        <c:crosses val="autoZero"/>
        <c:crossBetween val="between"/>
      </c:valAx>
    </c:plotArea>
    <c:legend>
      <c:legendPos val="t"/>
      <c:overlay val="0"/>
    </c:legend>
    <c:plotVisOnly val="1"/>
    <c:dispBlanksAs val="gap"/>
    <c:showDLblsOverMax val="0"/>
  </c:chart>
  <c:spPr>
    <a:noFill/>
    <a:ln>
      <a:noFill/>
    </a:ln>
  </c:spPr>
  <c:txPr>
    <a:bodyPr/>
    <a:lstStyle/>
    <a:p>
      <a:pPr>
        <a:defRPr sz="600">
          <a:latin typeface="Arial" panose="020B0604020202020204" pitchFamily="34" charset="0"/>
          <a:cs typeface="Arial" panose="020B0604020202020204" pitchFamily="34" charset="0"/>
        </a:defRPr>
      </a:pPr>
      <a:endParaRPr lang="es-E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tx>
            <c:strRef>
              <c:f>Hoja1!$G$169</c:f>
              <c:strCache>
                <c:ptCount val="1"/>
                <c:pt idx="0">
                  <c:v>2012</c:v>
                </c:pt>
              </c:strCache>
            </c:strRef>
          </c:tx>
          <c:invertIfNegative val="0"/>
          <c:cat>
            <c:strRef>
              <c:f>Hoja1!$F$170:$F$177</c:f>
              <c:strCache>
                <c:ptCount val="8"/>
                <c:pt idx="0">
                  <c:v>Nacional</c:v>
                </c:pt>
                <c:pt idx="1">
                  <c:v>La Guajira</c:v>
                </c:pt>
                <c:pt idx="2">
                  <c:v>Córdoba</c:v>
                </c:pt>
                <c:pt idx="3">
                  <c:v>Bolivar</c:v>
                </c:pt>
                <c:pt idx="4">
                  <c:v>Atlántico</c:v>
                </c:pt>
                <c:pt idx="5">
                  <c:v>Sucre</c:v>
                </c:pt>
                <c:pt idx="6">
                  <c:v>Magdalena</c:v>
                </c:pt>
                <c:pt idx="7">
                  <c:v>Cesar</c:v>
                </c:pt>
              </c:strCache>
            </c:strRef>
          </c:cat>
          <c:val>
            <c:numRef>
              <c:f>Hoja1!$G$170:$G$177</c:f>
              <c:numCache>
                <c:formatCode>General</c:formatCode>
                <c:ptCount val="8"/>
                <c:pt idx="0">
                  <c:v>57.8</c:v>
                </c:pt>
                <c:pt idx="1">
                  <c:v>65.599999999999994</c:v>
                </c:pt>
                <c:pt idx="2">
                  <c:v>55.9</c:v>
                </c:pt>
                <c:pt idx="3">
                  <c:v>55.2</c:v>
                </c:pt>
                <c:pt idx="4">
                  <c:v>54.8</c:v>
                </c:pt>
                <c:pt idx="5">
                  <c:v>53.6</c:v>
                </c:pt>
                <c:pt idx="6">
                  <c:v>52.6</c:v>
                </c:pt>
                <c:pt idx="7">
                  <c:v>51.1</c:v>
                </c:pt>
              </c:numCache>
            </c:numRef>
          </c:val>
        </c:ser>
        <c:ser>
          <c:idx val="1"/>
          <c:order val="1"/>
          <c:tx>
            <c:strRef>
              <c:f>Hoja1!$H$169</c:f>
              <c:strCache>
                <c:ptCount val="1"/>
                <c:pt idx="0">
                  <c:v>2011</c:v>
                </c:pt>
              </c:strCache>
            </c:strRef>
          </c:tx>
          <c:invertIfNegative val="0"/>
          <c:cat>
            <c:strRef>
              <c:f>Hoja1!$F$170:$F$177</c:f>
              <c:strCache>
                <c:ptCount val="8"/>
                <c:pt idx="0">
                  <c:v>Nacional</c:v>
                </c:pt>
                <c:pt idx="1">
                  <c:v>La Guajira</c:v>
                </c:pt>
                <c:pt idx="2">
                  <c:v>Córdoba</c:v>
                </c:pt>
                <c:pt idx="3">
                  <c:v>Bolivar</c:v>
                </c:pt>
                <c:pt idx="4">
                  <c:v>Atlántico</c:v>
                </c:pt>
                <c:pt idx="5">
                  <c:v>Sucre</c:v>
                </c:pt>
                <c:pt idx="6">
                  <c:v>Magdalena</c:v>
                </c:pt>
                <c:pt idx="7">
                  <c:v>Cesar</c:v>
                </c:pt>
              </c:strCache>
            </c:strRef>
          </c:cat>
          <c:val>
            <c:numRef>
              <c:f>Hoja1!$H$170:$H$177</c:f>
              <c:numCache>
                <c:formatCode>General</c:formatCode>
                <c:ptCount val="8"/>
                <c:pt idx="0">
                  <c:v>56.8</c:v>
                </c:pt>
                <c:pt idx="1">
                  <c:v>57.6</c:v>
                </c:pt>
                <c:pt idx="2">
                  <c:v>57.3</c:v>
                </c:pt>
                <c:pt idx="3">
                  <c:v>53.9</c:v>
                </c:pt>
                <c:pt idx="4">
                  <c:v>54.2</c:v>
                </c:pt>
                <c:pt idx="5">
                  <c:v>49.7</c:v>
                </c:pt>
                <c:pt idx="6">
                  <c:v>49.9</c:v>
                </c:pt>
                <c:pt idx="7">
                  <c:v>50.7</c:v>
                </c:pt>
              </c:numCache>
            </c:numRef>
          </c:val>
        </c:ser>
        <c:dLbls>
          <c:showLegendKey val="0"/>
          <c:showVal val="1"/>
          <c:showCatName val="0"/>
          <c:showSerName val="0"/>
          <c:showPercent val="0"/>
          <c:showBubbleSize val="0"/>
        </c:dLbls>
        <c:gapWidth val="75"/>
        <c:axId val="284754304"/>
        <c:axId val="284755840"/>
      </c:barChart>
      <c:catAx>
        <c:axId val="284754304"/>
        <c:scaling>
          <c:orientation val="minMax"/>
        </c:scaling>
        <c:delete val="0"/>
        <c:axPos val="l"/>
        <c:majorTickMark val="none"/>
        <c:minorTickMark val="none"/>
        <c:tickLblPos val="nextTo"/>
        <c:crossAx val="284755840"/>
        <c:crosses val="autoZero"/>
        <c:auto val="1"/>
        <c:lblAlgn val="ctr"/>
        <c:lblOffset val="100"/>
        <c:noMultiLvlLbl val="0"/>
      </c:catAx>
      <c:valAx>
        <c:axId val="284755840"/>
        <c:scaling>
          <c:orientation val="minMax"/>
        </c:scaling>
        <c:delete val="0"/>
        <c:axPos val="b"/>
        <c:numFmt formatCode="General" sourceLinked="1"/>
        <c:majorTickMark val="none"/>
        <c:minorTickMark val="none"/>
        <c:tickLblPos val="nextTo"/>
        <c:crossAx val="284754304"/>
        <c:crosses val="autoZero"/>
        <c:crossBetween val="between"/>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s-E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37134556586169"/>
          <c:y val="5.3942882918857363E-2"/>
          <c:w val="0.7602344802399037"/>
          <c:h val="0.84543564081354972"/>
        </c:manualLayout>
      </c:layout>
      <c:barChart>
        <c:barDir val="bar"/>
        <c:grouping val="clustered"/>
        <c:varyColors val="0"/>
        <c:ser>
          <c:idx val="0"/>
          <c:order val="0"/>
          <c:tx>
            <c:strRef>
              <c:f>Hoja1!$M$178</c:f>
              <c:strCache>
                <c:ptCount val="1"/>
                <c:pt idx="0">
                  <c:v>2012</c:v>
                </c:pt>
              </c:strCache>
            </c:strRef>
          </c:tx>
          <c:invertIfNegative val="0"/>
          <c:cat>
            <c:strRef>
              <c:f>Hoja1!$L$179:$L$191</c:f>
              <c:strCache>
                <c:ptCount val="13"/>
                <c:pt idx="0">
                  <c:v>Bogota</c:v>
                </c:pt>
                <c:pt idx="1">
                  <c:v>Bucaramanga</c:v>
                </c:pt>
                <c:pt idx="2">
                  <c:v>Monteria</c:v>
                </c:pt>
                <c:pt idx="3">
                  <c:v>Villavicencio</c:v>
                </c:pt>
                <c:pt idx="4">
                  <c:v>Pasto</c:v>
                </c:pt>
                <c:pt idx="5">
                  <c:v>Cúcuta</c:v>
                </c:pt>
                <c:pt idx="6">
                  <c:v>Medellín</c:v>
                </c:pt>
                <c:pt idx="7">
                  <c:v>Ibague</c:v>
                </c:pt>
                <c:pt idx="8">
                  <c:v>Cali</c:v>
                </c:pt>
                <c:pt idx="9">
                  <c:v>Pereira</c:v>
                </c:pt>
                <c:pt idx="10">
                  <c:v>Cartagena</c:v>
                </c:pt>
                <c:pt idx="11">
                  <c:v>Barranquilla</c:v>
                </c:pt>
                <c:pt idx="12">
                  <c:v>Manizales</c:v>
                </c:pt>
              </c:strCache>
            </c:strRef>
          </c:cat>
          <c:val>
            <c:numRef>
              <c:f>Hoja1!$M$179:$M$191</c:f>
              <c:numCache>
                <c:formatCode>General</c:formatCode>
                <c:ptCount val="13"/>
                <c:pt idx="0">
                  <c:v>64.400000000000006</c:v>
                </c:pt>
                <c:pt idx="1">
                  <c:v>61.9</c:v>
                </c:pt>
                <c:pt idx="2">
                  <c:v>59</c:v>
                </c:pt>
                <c:pt idx="3">
                  <c:v>59</c:v>
                </c:pt>
                <c:pt idx="4">
                  <c:v>57.6</c:v>
                </c:pt>
                <c:pt idx="5">
                  <c:v>56.9</c:v>
                </c:pt>
                <c:pt idx="6">
                  <c:v>56.4</c:v>
                </c:pt>
                <c:pt idx="7">
                  <c:v>56.2</c:v>
                </c:pt>
                <c:pt idx="8">
                  <c:v>55</c:v>
                </c:pt>
                <c:pt idx="9">
                  <c:v>55</c:v>
                </c:pt>
                <c:pt idx="10">
                  <c:v>54.4</c:v>
                </c:pt>
                <c:pt idx="11">
                  <c:v>54.3</c:v>
                </c:pt>
                <c:pt idx="12">
                  <c:v>50.3</c:v>
                </c:pt>
              </c:numCache>
            </c:numRef>
          </c:val>
        </c:ser>
        <c:ser>
          <c:idx val="1"/>
          <c:order val="1"/>
          <c:tx>
            <c:strRef>
              <c:f>Hoja1!$N$178</c:f>
              <c:strCache>
                <c:ptCount val="1"/>
                <c:pt idx="0">
                  <c:v>2011</c:v>
                </c:pt>
              </c:strCache>
            </c:strRef>
          </c:tx>
          <c:invertIfNegative val="0"/>
          <c:dLbls>
            <c:txPr>
              <a:bodyPr/>
              <a:lstStyle/>
              <a:p>
                <a:pPr>
                  <a:defRPr sz="700"/>
                </a:pPr>
                <a:endParaRPr lang="es-ES"/>
              </a:p>
            </c:txPr>
            <c:showLegendKey val="0"/>
            <c:showVal val="1"/>
            <c:showCatName val="0"/>
            <c:showSerName val="0"/>
            <c:showPercent val="0"/>
            <c:showBubbleSize val="0"/>
            <c:showLeaderLines val="0"/>
          </c:dLbls>
          <c:cat>
            <c:strRef>
              <c:f>Hoja1!$L$179:$L$191</c:f>
              <c:strCache>
                <c:ptCount val="13"/>
                <c:pt idx="0">
                  <c:v>Bogota</c:v>
                </c:pt>
                <c:pt idx="1">
                  <c:v>Bucaramanga</c:v>
                </c:pt>
                <c:pt idx="2">
                  <c:v>Monteria</c:v>
                </c:pt>
                <c:pt idx="3">
                  <c:v>Villavicencio</c:v>
                </c:pt>
                <c:pt idx="4">
                  <c:v>Pasto</c:v>
                </c:pt>
                <c:pt idx="5">
                  <c:v>Cúcuta</c:v>
                </c:pt>
                <c:pt idx="6">
                  <c:v>Medellín</c:v>
                </c:pt>
                <c:pt idx="7">
                  <c:v>Ibague</c:v>
                </c:pt>
                <c:pt idx="8">
                  <c:v>Cali</c:v>
                </c:pt>
                <c:pt idx="9">
                  <c:v>Pereira</c:v>
                </c:pt>
                <c:pt idx="10">
                  <c:v>Cartagena</c:v>
                </c:pt>
                <c:pt idx="11">
                  <c:v>Barranquilla</c:v>
                </c:pt>
                <c:pt idx="12">
                  <c:v>Manizales</c:v>
                </c:pt>
              </c:strCache>
            </c:strRef>
          </c:cat>
          <c:val>
            <c:numRef>
              <c:f>Hoja1!$N$179:$N$191</c:f>
              <c:numCache>
                <c:formatCode>General</c:formatCode>
                <c:ptCount val="13"/>
                <c:pt idx="0">
                  <c:v>62.6</c:v>
                </c:pt>
                <c:pt idx="1">
                  <c:v>62</c:v>
                </c:pt>
                <c:pt idx="2">
                  <c:v>57.7</c:v>
                </c:pt>
                <c:pt idx="3">
                  <c:v>55.6</c:v>
                </c:pt>
                <c:pt idx="4">
                  <c:v>56.1</c:v>
                </c:pt>
                <c:pt idx="5">
                  <c:v>55.2</c:v>
                </c:pt>
                <c:pt idx="6">
                  <c:v>55.3</c:v>
                </c:pt>
                <c:pt idx="7">
                  <c:v>56.4</c:v>
                </c:pt>
                <c:pt idx="8">
                  <c:v>54.6</c:v>
                </c:pt>
                <c:pt idx="9">
                  <c:v>53.7</c:v>
                </c:pt>
                <c:pt idx="10">
                  <c:v>51.3</c:v>
                </c:pt>
                <c:pt idx="11">
                  <c:v>54.5</c:v>
                </c:pt>
                <c:pt idx="12">
                  <c:v>49.4</c:v>
                </c:pt>
              </c:numCache>
            </c:numRef>
          </c:val>
        </c:ser>
        <c:dLbls>
          <c:showLegendKey val="0"/>
          <c:showVal val="1"/>
          <c:showCatName val="0"/>
          <c:showSerName val="0"/>
          <c:showPercent val="0"/>
          <c:showBubbleSize val="0"/>
        </c:dLbls>
        <c:gapWidth val="150"/>
        <c:overlap val="-25"/>
        <c:axId val="284771072"/>
        <c:axId val="284791552"/>
      </c:barChart>
      <c:catAx>
        <c:axId val="284771072"/>
        <c:scaling>
          <c:orientation val="minMax"/>
        </c:scaling>
        <c:delete val="0"/>
        <c:axPos val="l"/>
        <c:majorTickMark val="none"/>
        <c:minorTickMark val="none"/>
        <c:tickLblPos val="nextTo"/>
        <c:crossAx val="284791552"/>
        <c:crosses val="autoZero"/>
        <c:auto val="1"/>
        <c:lblAlgn val="ctr"/>
        <c:lblOffset val="100"/>
        <c:noMultiLvlLbl val="0"/>
      </c:catAx>
      <c:valAx>
        <c:axId val="284791552"/>
        <c:scaling>
          <c:orientation val="minMax"/>
        </c:scaling>
        <c:delete val="1"/>
        <c:axPos val="b"/>
        <c:numFmt formatCode="General" sourceLinked="1"/>
        <c:majorTickMark val="out"/>
        <c:minorTickMark val="none"/>
        <c:tickLblPos val="none"/>
        <c:crossAx val="284771072"/>
        <c:crosses val="autoZero"/>
        <c:crossBetween val="between"/>
      </c:valAx>
    </c:plotArea>
    <c:legend>
      <c:legendPos val="t"/>
      <c:layout>
        <c:manualLayout>
          <c:xMode val="edge"/>
          <c:yMode val="edge"/>
          <c:x val="0.35914140756048046"/>
          <c:y val="0.91900948324401566"/>
          <c:w val="0.22877376303694652"/>
          <c:h val="5.5746118148235824E-2"/>
        </c:manualLayout>
      </c:layout>
      <c:overlay val="0"/>
    </c:legend>
    <c:plotVisOnly val="1"/>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es-E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Hoja1!$B$200:$B$210</c:f>
              <c:strCache>
                <c:ptCount val="11"/>
                <c:pt idx="0">
                  <c:v>Comercio</c:v>
                </c:pt>
                <c:pt idx="1">
                  <c:v>Agricultura</c:v>
                </c:pt>
                <c:pt idx="2">
                  <c:v>Servicios</c:v>
                </c:pt>
                <c:pt idx="3">
                  <c:v>Transporte y comunicaciones</c:v>
                </c:pt>
                <c:pt idx="4">
                  <c:v>Industria</c:v>
                </c:pt>
                <c:pt idx="5">
                  <c:v>Construcción</c:v>
                </c:pt>
                <c:pt idx="6">
                  <c:v>Actividades inmobiliarias </c:v>
                </c:pt>
                <c:pt idx="7">
                  <c:v>Minas y canteras</c:v>
                </c:pt>
                <c:pt idx="8">
                  <c:v>Servicios financieros</c:v>
                </c:pt>
                <c:pt idx="9">
                  <c:v>Electricidad, gas y agua</c:v>
                </c:pt>
                <c:pt idx="10">
                  <c:v>No informa</c:v>
                </c:pt>
              </c:strCache>
            </c:strRef>
          </c:cat>
          <c:val>
            <c:numRef>
              <c:f>Hoja1!$C$200:$C$210</c:f>
              <c:numCache>
                <c:formatCode>0%</c:formatCode>
                <c:ptCount val="11"/>
                <c:pt idx="0">
                  <c:v>0.28000000000000008</c:v>
                </c:pt>
                <c:pt idx="1">
                  <c:v>0.2</c:v>
                </c:pt>
                <c:pt idx="2">
                  <c:v>0.1800000000000001</c:v>
                </c:pt>
                <c:pt idx="3">
                  <c:v>0.11</c:v>
                </c:pt>
                <c:pt idx="4">
                  <c:v>0.1</c:v>
                </c:pt>
                <c:pt idx="5">
                  <c:v>7.0000000000000021E-2</c:v>
                </c:pt>
                <c:pt idx="6">
                  <c:v>4.0000000000000022E-2</c:v>
                </c:pt>
                <c:pt idx="7">
                  <c:v>1.0000000000000005E-2</c:v>
                </c:pt>
                <c:pt idx="8">
                  <c:v>0</c:v>
                </c:pt>
                <c:pt idx="9">
                  <c:v>0</c:v>
                </c:pt>
                <c:pt idx="10">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spPr>
    <a:ln>
      <a:noFill/>
    </a:ln>
  </c:spPr>
  <c:txPr>
    <a:bodyPr/>
    <a:lstStyle/>
    <a:p>
      <a:pPr>
        <a:defRPr>
          <a:latin typeface="Arial" panose="020B0604020202020204" pitchFamily="34" charset="0"/>
          <a:cs typeface="Arial" panose="020B0604020202020204" pitchFamily="34" charset="0"/>
        </a:defRPr>
      </a:pPr>
      <a:endParaRPr lang="es-E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clustered"/>
        <c:varyColors val="0"/>
        <c:ser>
          <c:idx val="0"/>
          <c:order val="0"/>
          <c:invertIfNegative val="0"/>
          <c:cat>
            <c:strRef>
              <c:f>Hoja1!$B$221:$B$231</c:f>
              <c:strCache>
                <c:ptCount val="11"/>
                <c:pt idx="0">
                  <c:v>No informa</c:v>
                </c:pt>
                <c:pt idx="1">
                  <c:v>Electricidad, gas y agua</c:v>
                </c:pt>
                <c:pt idx="2">
                  <c:v>Servicios financieros</c:v>
                </c:pt>
                <c:pt idx="3">
                  <c:v>Minas y canteras</c:v>
                </c:pt>
                <c:pt idx="4">
                  <c:v>Actividades inmobiliarias</c:v>
                </c:pt>
                <c:pt idx="5">
                  <c:v>Construcción</c:v>
                </c:pt>
                <c:pt idx="6">
                  <c:v>Insdustria</c:v>
                </c:pt>
                <c:pt idx="7">
                  <c:v>Transporte y comunicaciones</c:v>
                </c:pt>
                <c:pt idx="8">
                  <c:v>Servicios  </c:v>
                </c:pt>
                <c:pt idx="9">
                  <c:v>Agricultura</c:v>
                </c:pt>
                <c:pt idx="10">
                  <c:v>Comercio</c:v>
                </c:pt>
              </c:strCache>
            </c:strRef>
          </c:cat>
          <c:val>
            <c:numRef>
              <c:f>Hoja1!$C$221:$C$231</c:f>
              <c:numCache>
                <c:formatCode>General</c:formatCode>
                <c:ptCount val="11"/>
                <c:pt idx="0" formatCode="_(* #,##0_);_(* \(#,##0\);_(* &quot;-&quot;??_);_(@_)">
                  <c:v>0</c:v>
                </c:pt>
                <c:pt idx="1">
                  <c:v>5000</c:v>
                </c:pt>
                <c:pt idx="2">
                  <c:v>6000</c:v>
                </c:pt>
                <c:pt idx="3">
                  <c:v>7000</c:v>
                </c:pt>
                <c:pt idx="4">
                  <c:v>45000</c:v>
                </c:pt>
                <c:pt idx="5">
                  <c:v>75000</c:v>
                </c:pt>
                <c:pt idx="6">
                  <c:v>89000</c:v>
                </c:pt>
                <c:pt idx="7">
                  <c:v>100000</c:v>
                </c:pt>
                <c:pt idx="8">
                  <c:v>170000</c:v>
                </c:pt>
                <c:pt idx="9">
                  <c:v>175000</c:v>
                </c:pt>
                <c:pt idx="10">
                  <c:v>240000</c:v>
                </c:pt>
              </c:numCache>
            </c:numRef>
          </c:val>
        </c:ser>
        <c:dLbls>
          <c:showLegendKey val="0"/>
          <c:showVal val="0"/>
          <c:showCatName val="0"/>
          <c:showSerName val="0"/>
          <c:showPercent val="0"/>
          <c:showBubbleSize val="0"/>
        </c:dLbls>
        <c:gapWidth val="150"/>
        <c:axId val="284867200"/>
        <c:axId val="284868992"/>
      </c:barChart>
      <c:catAx>
        <c:axId val="284867200"/>
        <c:scaling>
          <c:orientation val="minMax"/>
        </c:scaling>
        <c:delete val="0"/>
        <c:axPos val="l"/>
        <c:majorTickMark val="out"/>
        <c:minorTickMark val="none"/>
        <c:tickLblPos val="nextTo"/>
        <c:crossAx val="284868992"/>
        <c:crosses val="autoZero"/>
        <c:auto val="1"/>
        <c:lblAlgn val="ctr"/>
        <c:lblOffset val="100"/>
        <c:noMultiLvlLbl val="0"/>
      </c:catAx>
      <c:valAx>
        <c:axId val="284868992"/>
        <c:scaling>
          <c:orientation val="minMax"/>
          <c:max val="250000"/>
        </c:scaling>
        <c:delete val="0"/>
        <c:axPos val="b"/>
        <c:majorGridlines/>
        <c:numFmt formatCode="_(* #,##0_);_(* \(#,##0\);_(* &quot;-&quot;??_);_(@_)" sourceLinked="1"/>
        <c:majorTickMark val="out"/>
        <c:minorTickMark val="none"/>
        <c:tickLblPos val="nextTo"/>
        <c:crossAx val="284867200"/>
        <c:crosses val="autoZero"/>
        <c:crossBetween val="between"/>
      </c:valAx>
    </c:plotArea>
    <c:plotVisOnly val="1"/>
    <c:dispBlanksAs val="gap"/>
    <c:showDLblsOverMax val="0"/>
  </c:chart>
  <c:spPr>
    <a:ln>
      <a:noFill/>
    </a:ln>
  </c:spPr>
  <c:txPr>
    <a:bodyPr/>
    <a:lstStyle/>
    <a:p>
      <a:pPr>
        <a:defRPr>
          <a:latin typeface="Arial" pitchFamily="34" charset="0"/>
          <a:cs typeface="Arial" pitchFamily="34" charset="0"/>
        </a:defRPr>
      </a:pPr>
      <a:endParaRPr lang="es-E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Hoja1!$B$242:$B$250</c:f>
              <c:strCache>
                <c:ptCount val="9"/>
                <c:pt idx="0">
                  <c:v>Emp. particular</c:v>
                </c:pt>
                <c:pt idx="1">
                  <c:v>Emp. gobierno</c:v>
                </c:pt>
                <c:pt idx="2">
                  <c:v>Emp. domestico</c:v>
                </c:pt>
                <c:pt idx="3">
                  <c:v>Cuenta propia</c:v>
                </c:pt>
                <c:pt idx="4">
                  <c:v>Patron o empleador</c:v>
                </c:pt>
                <c:pt idx="5">
                  <c:v>T. familiar S. R.</c:v>
                </c:pt>
                <c:pt idx="6">
                  <c:v>T. S. R. en Empresas</c:v>
                </c:pt>
                <c:pt idx="7">
                  <c:v>Jornalero o Peon</c:v>
                </c:pt>
                <c:pt idx="8">
                  <c:v>Otro</c:v>
                </c:pt>
              </c:strCache>
            </c:strRef>
          </c:cat>
          <c:val>
            <c:numRef>
              <c:f>Hoja1!$C$242:$C$250</c:f>
              <c:numCache>
                <c:formatCode>#,##0.0</c:formatCode>
                <c:ptCount val="9"/>
                <c:pt idx="0">
                  <c:v>24.9701762835276</c:v>
                </c:pt>
                <c:pt idx="1">
                  <c:v>4.0508944782686269</c:v>
                </c:pt>
                <c:pt idx="2">
                  <c:v>3.6127802933744126</c:v>
                </c:pt>
                <c:pt idx="3">
                  <c:v>55.962819183733906</c:v>
                </c:pt>
                <c:pt idx="4">
                  <c:v>3.261892462033797</c:v>
                </c:pt>
                <c:pt idx="5">
                  <c:v>5.8382184367124985</c:v>
                </c:pt>
                <c:pt idx="6">
                  <c:v>0.42960145252868964</c:v>
                </c:pt>
                <c:pt idx="7">
                  <c:v>1.7866242818110896</c:v>
                </c:pt>
                <c:pt idx="8">
                  <c:v>8.6993128009338352E-2</c:v>
                </c:pt>
              </c:numCache>
            </c:numRef>
          </c:val>
        </c:ser>
        <c:ser>
          <c:idx val="1"/>
          <c:order val="1"/>
          <c:invertIfNegative val="0"/>
          <c:cat>
            <c:strRef>
              <c:f>Hoja1!$B$242:$B$250</c:f>
              <c:strCache>
                <c:ptCount val="9"/>
                <c:pt idx="0">
                  <c:v>Emp. particular</c:v>
                </c:pt>
                <c:pt idx="1">
                  <c:v>Emp. gobierno</c:v>
                </c:pt>
                <c:pt idx="2">
                  <c:v>Emp. domestico</c:v>
                </c:pt>
                <c:pt idx="3">
                  <c:v>Cuenta propia</c:v>
                </c:pt>
                <c:pt idx="4">
                  <c:v>Patron o empleador</c:v>
                </c:pt>
                <c:pt idx="5">
                  <c:v>T. familiar S. R.</c:v>
                </c:pt>
                <c:pt idx="6">
                  <c:v>T. S. R. en Empresas</c:v>
                </c:pt>
                <c:pt idx="7">
                  <c:v>Jornalero o Peon</c:v>
                </c:pt>
                <c:pt idx="8">
                  <c:v>Otro</c:v>
                </c:pt>
              </c:strCache>
            </c:strRef>
          </c:cat>
          <c:val>
            <c:numRef>
              <c:f>Hoja1!$D$242:$D$250</c:f>
              <c:numCache>
                <c:formatCode>General</c:formatCode>
                <c:ptCount val="9"/>
              </c:numCache>
            </c:numRef>
          </c:val>
        </c:ser>
        <c:dLbls>
          <c:showLegendKey val="0"/>
          <c:showVal val="1"/>
          <c:showCatName val="0"/>
          <c:showSerName val="0"/>
          <c:showPercent val="0"/>
          <c:showBubbleSize val="0"/>
        </c:dLbls>
        <c:gapWidth val="150"/>
        <c:overlap val="-25"/>
        <c:axId val="284960256"/>
        <c:axId val="284961792"/>
      </c:barChart>
      <c:catAx>
        <c:axId val="284960256"/>
        <c:scaling>
          <c:orientation val="minMax"/>
        </c:scaling>
        <c:delete val="0"/>
        <c:axPos val="l"/>
        <c:majorTickMark val="none"/>
        <c:minorTickMark val="none"/>
        <c:tickLblPos val="nextTo"/>
        <c:crossAx val="284961792"/>
        <c:crosses val="autoZero"/>
        <c:auto val="1"/>
        <c:lblAlgn val="ctr"/>
        <c:lblOffset val="100"/>
        <c:noMultiLvlLbl val="0"/>
      </c:catAx>
      <c:valAx>
        <c:axId val="284961792"/>
        <c:scaling>
          <c:orientation val="minMax"/>
        </c:scaling>
        <c:delete val="1"/>
        <c:axPos val="b"/>
        <c:numFmt formatCode="#,##0.0" sourceLinked="1"/>
        <c:majorTickMark val="out"/>
        <c:minorTickMark val="none"/>
        <c:tickLblPos val="none"/>
        <c:crossAx val="284960256"/>
        <c:crosses val="autoZero"/>
        <c:crossBetween val="between"/>
      </c:valAx>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s-E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Hoja1!$B$257</c:f>
              <c:strCache>
                <c:ptCount val="1"/>
                <c:pt idx="0">
                  <c:v>Nacional</c:v>
                </c:pt>
              </c:strCache>
            </c:strRef>
          </c:tx>
          <c:marker>
            <c:symbol val="square"/>
            <c:size val="4"/>
            <c:spPr>
              <a:ln w="19050"/>
            </c:spPr>
          </c:marker>
          <c:cat>
            <c:numRef>
              <c:f>Hoja1!$C$256:$N$256</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Hoja1!$C$257:$N$257</c:f>
              <c:numCache>
                <c:formatCode>General</c:formatCode>
                <c:ptCount val="12"/>
                <c:pt idx="0">
                  <c:v>15</c:v>
                </c:pt>
                <c:pt idx="1">
                  <c:v>15.6</c:v>
                </c:pt>
                <c:pt idx="2">
                  <c:v>14.1</c:v>
                </c:pt>
                <c:pt idx="3">
                  <c:v>13.6</c:v>
                </c:pt>
                <c:pt idx="4">
                  <c:v>11.8</c:v>
                </c:pt>
                <c:pt idx="5">
                  <c:v>12</c:v>
                </c:pt>
                <c:pt idx="6">
                  <c:v>11.2</c:v>
                </c:pt>
                <c:pt idx="7">
                  <c:v>11.3</c:v>
                </c:pt>
                <c:pt idx="8">
                  <c:v>12</c:v>
                </c:pt>
                <c:pt idx="9">
                  <c:v>11.8</c:v>
                </c:pt>
                <c:pt idx="10">
                  <c:v>10.8</c:v>
                </c:pt>
                <c:pt idx="11">
                  <c:v>10.3</c:v>
                </c:pt>
              </c:numCache>
            </c:numRef>
          </c:val>
          <c:smooth val="1"/>
        </c:ser>
        <c:ser>
          <c:idx val="1"/>
          <c:order val="1"/>
          <c:tx>
            <c:strRef>
              <c:f>Hoja1!$B$258</c:f>
              <c:strCache>
                <c:ptCount val="1"/>
                <c:pt idx="0">
                  <c:v>Bolívar</c:v>
                </c:pt>
              </c:strCache>
            </c:strRef>
          </c:tx>
          <c:marker>
            <c:symbol val="square"/>
            <c:size val="4"/>
            <c:spPr>
              <a:ln w="19050"/>
            </c:spPr>
          </c:marker>
          <c:cat>
            <c:numRef>
              <c:f>Hoja1!$C$256:$N$256</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Hoja1!$C$258:$N$258</c:f>
              <c:numCache>
                <c:formatCode>General</c:formatCode>
                <c:ptCount val="12"/>
                <c:pt idx="0">
                  <c:v>13.6</c:v>
                </c:pt>
                <c:pt idx="1">
                  <c:v>11.2</c:v>
                </c:pt>
                <c:pt idx="2">
                  <c:v>9.7000000000000011</c:v>
                </c:pt>
                <c:pt idx="3">
                  <c:v>9.6</c:v>
                </c:pt>
                <c:pt idx="4">
                  <c:v>10.3</c:v>
                </c:pt>
                <c:pt idx="5">
                  <c:v>11.2</c:v>
                </c:pt>
                <c:pt idx="6">
                  <c:v>11.8</c:v>
                </c:pt>
                <c:pt idx="7">
                  <c:v>10.1</c:v>
                </c:pt>
                <c:pt idx="8">
                  <c:v>10.1</c:v>
                </c:pt>
                <c:pt idx="9">
                  <c:v>8.2000000000000011</c:v>
                </c:pt>
                <c:pt idx="10">
                  <c:v>7.7</c:v>
                </c:pt>
                <c:pt idx="11">
                  <c:v>7.6</c:v>
                </c:pt>
              </c:numCache>
            </c:numRef>
          </c:val>
          <c:smooth val="1"/>
        </c:ser>
        <c:ser>
          <c:idx val="2"/>
          <c:order val="2"/>
          <c:tx>
            <c:strRef>
              <c:f>Hoja1!$B$259</c:f>
              <c:strCache>
                <c:ptCount val="1"/>
                <c:pt idx="0">
                  <c:v>Cartagena</c:v>
                </c:pt>
              </c:strCache>
            </c:strRef>
          </c:tx>
          <c:marker>
            <c:symbol val="square"/>
            <c:size val="4"/>
            <c:spPr>
              <a:ln w="19050"/>
            </c:spPr>
          </c:marker>
          <c:cat>
            <c:numRef>
              <c:f>Hoja1!$C$256:$N$256</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Hoja1!$C$259:$N$259</c:f>
              <c:numCache>
                <c:formatCode>General</c:formatCode>
                <c:ptCount val="12"/>
                <c:pt idx="0">
                  <c:v>19.100000000000001</c:v>
                </c:pt>
                <c:pt idx="1">
                  <c:v>14.4</c:v>
                </c:pt>
                <c:pt idx="2">
                  <c:v>15.2</c:v>
                </c:pt>
                <c:pt idx="3">
                  <c:v>15.7</c:v>
                </c:pt>
                <c:pt idx="4">
                  <c:v>13.8</c:v>
                </c:pt>
                <c:pt idx="5">
                  <c:v>12.8</c:v>
                </c:pt>
                <c:pt idx="6">
                  <c:v>15.6</c:v>
                </c:pt>
                <c:pt idx="7">
                  <c:v>12.4</c:v>
                </c:pt>
                <c:pt idx="8">
                  <c:v>13.4</c:v>
                </c:pt>
                <c:pt idx="9">
                  <c:v>12.5</c:v>
                </c:pt>
                <c:pt idx="10">
                  <c:v>11.6</c:v>
                </c:pt>
                <c:pt idx="11">
                  <c:v>10.4</c:v>
                </c:pt>
              </c:numCache>
            </c:numRef>
          </c:val>
          <c:smooth val="1"/>
        </c:ser>
        <c:dLbls>
          <c:showLegendKey val="0"/>
          <c:showVal val="0"/>
          <c:showCatName val="0"/>
          <c:showSerName val="0"/>
          <c:showPercent val="0"/>
          <c:showBubbleSize val="0"/>
        </c:dLbls>
        <c:marker val="1"/>
        <c:smooth val="0"/>
        <c:axId val="285052288"/>
        <c:axId val="285054464"/>
      </c:lineChart>
      <c:catAx>
        <c:axId val="285052288"/>
        <c:scaling>
          <c:orientation val="minMax"/>
        </c:scaling>
        <c:delete val="0"/>
        <c:axPos val="b"/>
        <c:numFmt formatCode="General" sourceLinked="1"/>
        <c:majorTickMark val="out"/>
        <c:minorTickMark val="none"/>
        <c:tickLblPos val="nextTo"/>
        <c:crossAx val="285054464"/>
        <c:crosses val="autoZero"/>
        <c:auto val="1"/>
        <c:lblAlgn val="ctr"/>
        <c:lblOffset val="100"/>
        <c:noMultiLvlLbl val="0"/>
      </c:catAx>
      <c:valAx>
        <c:axId val="285054464"/>
        <c:scaling>
          <c:orientation val="minMax"/>
          <c:max val="20"/>
          <c:min val="7"/>
        </c:scaling>
        <c:delete val="0"/>
        <c:axPos val="l"/>
        <c:majorGridlines/>
        <c:numFmt formatCode="General" sourceLinked="1"/>
        <c:majorTickMark val="out"/>
        <c:minorTickMark val="none"/>
        <c:tickLblPos val="nextTo"/>
        <c:crossAx val="28505228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07223587971595"/>
          <c:y val="0.12619856897668197"/>
          <c:w val="0.82517124721247592"/>
          <c:h val="0.70155943008593757"/>
        </c:manualLayout>
      </c:layout>
      <c:barChart>
        <c:barDir val="bar"/>
        <c:grouping val="clustered"/>
        <c:varyColors val="0"/>
        <c:ser>
          <c:idx val="0"/>
          <c:order val="0"/>
          <c:tx>
            <c:v>Hombres 1992</c:v>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'Base para grafica'!$B$25:$B$41</c:f>
              <c:strCache>
                <c:ptCount val="17"/>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 Y MÁS</c:v>
                </c:pt>
              </c:strCache>
            </c:strRef>
          </c:cat>
          <c:val>
            <c:numRef>
              <c:f>'Base para grafica'!$C$25:$C$41</c:f>
              <c:numCache>
                <c:formatCode>#,##0.0</c:formatCode>
                <c:ptCount val="17"/>
                <c:pt idx="0">
                  <c:v>-7.0853535961154943</c:v>
                </c:pt>
                <c:pt idx="1">
                  <c:v>-6.374322945411051</c:v>
                </c:pt>
                <c:pt idx="2">
                  <c:v>-5.7262474704941377</c:v>
                </c:pt>
                <c:pt idx="3">
                  <c:v>-5.112864180414638</c:v>
                </c:pt>
                <c:pt idx="4">
                  <c:v>-4.7729444243929979</c:v>
                </c:pt>
                <c:pt idx="5">
                  <c:v>-4.3892297634756865</c:v>
                </c:pt>
                <c:pt idx="6">
                  <c:v>-3.6419791986932819</c:v>
                </c:pt>
                <c:pt idx="7">
                  <c:v>-2.854498430576482</c:v>
                </c:pt>
                <c:pt idx="8">
                  <c:v>-2.2581747836830877</c:v>
                </c:pt>
                <c:pt idx="9">
                  <c:v>-1.7248063125772219</c:v>
                </c:pt>
                <c:pt idx="10">
                  <c:v>-1.4466322800276774</c:v>
                </c:pt>
                <c:pt idx="11">
                  <c:v>-1.2376516509978936</c:v>
                </c:pt>
                <c:pt idx="12">
                  <c:v>-0.98303011090677739</c:v>
                </c:pt>
                <c:pt idx="13">
                  <c:v>-0.82172736525905521</c:v>
                </c:pt>
                <c:pt idx="14">
                  <c:v>-0.60154338846526234</c:v>
                </c:pt>
                <c:pt idx="15">
                  <c:v>-0.32069582974476102</c:v>
                </c:pt>
                <c:pt idx="16">
                  <c:v>-0.26506102323485209</c:v>
                </c:pt>
              </c:numCache>
            </c:numRef>
          </c:val>
        </c:ser>
        <c:ser>
          <c:idx val="1"/>
          <c:order val="1"/>
          <c:tx>
            <c:v>Mujeres 1992</c:v>
          </c:tx>
          <c:invertIfNegative val="0"/>
          <c:cat>
            <c:strRef>
              <c:f>'Base para grafica'!$B$25:$B$41</c:f>
              <c:strCache>
                <c:ptCount val="17"/>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 Y MÁS</c:v>
                </c:pt>
              </c:strCache>
            </c:strRef>
          </c:cat>
          <c:val>
            <c:numRef>
              <c:f>'Base para grafica'!$D$25:$D$41</c:f>
              <c:numCache>
                <c:formatCode>#,##0.0</c:formatCode>
                <c:ptCount val="17"/>
                <c:pt idx="0">
                  <c:v>6.6670104057457893</c:v>
                </c:pt>
                <c:pt idx="1">
                  <c:v>6.3018831172551293</c:v>
                </c:pt>
                <c:pt idx="2">
                  <c:v>5.8131370710502308</c:v>
                </c:pt>
                <c:pt idx="3">
                  <c:v>5.2240701380494334</c:v>
                </c:pt>
                <c:pt idx="4">
                  <c:v>4.9352656562010848</c:v>
                </c:pt>
                <c:pt idx="5">
                  <c:v>4.5332182443972124</c:v>
                </c:pt>
                <c:pt idx="6">
                  <c:v>3.7752735749309818</c:v>
                </c:pt>
                <c:pt idx="7">
                  <c:v>2.916435120203646</c:v>
                </c:pt>
                <c:pt idx="8">
                  <c:v>2.3008238916483497</c:v>
                </c:pt>
                <c:pt idx="9">
                  <c:v>1.7791043560016526</c:v>
                </c:pt>
                <c:pt idx="10">
                  <c:v>1.496283480345445</c:v>
                </c:pt>
                <c:pt idx="11">
                  <c:v>1.2992700636999439</c:v>
                </c:pt>
                <c:pt idx="12">
                  <c:v>1.0189317480596247</c:v>
                </c:pt>
                <c:pt idx="13">
                  <c:v>0.86666806708513722</c:v>
                </c:pt>
                <c:pt idx="14">
                  <c:v>0.67958489050318938</c:v>
                </c:pt>
                <c:pt idx="15">
                  <c:v>0.39135330712004579</c:v>
                </c:pt>
                <c:pt idx="16">
                  <c:v>0.38492411323274511</c:v>
                </c:pt>
              </c:numCache>
            </c:numRef>
          </c:val>
        </c:ser>
        <c:ser>
          <c:idx val="2"/>
          <c:order val="2"/>
          <c:tx>
            <c:v>Hombres 2012</c:v>
          </c:tx>
          <c:spPr>
            <a:noFill/>
            <a:ln w="19050">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'Base para grafica'!$E$25:$E$41</c:f>
              <c:numCache>
                <c:formatCode>#,##0.0</c:formatCode>
                <c:ptCount val="17"/>
                <c:pt idx="0">
                  <c:v>-6.71857126761424</c:v>
                </c:pt>
                <c:pt idx="1">
                  <c:v>-6.6314270455180573</c:v>
                </c:pt>
                <c:pt idx="2">
                  <c:v>-6.7269101230522255</c:v>
                </c:pt>
                <c:pt idx="3">
                  <c:v>-6.624488608550573</c:v>
                </c:pt>
                <c:pt idx="4">
                  <c:v>-5.9727847766873605</c:v>
                </c:pt>
                <c:pt idx="5">
                  <c:v>-5.091475971046985</c:v>
                </c:pt>
                <c:pt idx="6">
                  <c:v>-4.3512911540021095</c:v>
                </c:pt>
                <c:pt idx="7">
                  <c:v>-3.8421117292048992</c:v>
                </c:pt>
                <c:pt idx="8">
                  <c:v>-3.7212938084316654</c:v>
                </c:pt>
                <c:pt idx="9">
                  <c:v>-3.5712580659329745</c:v>
                </c:pt>
                <c:pt idx="10">
                  <c:v>-3.0503023949065509</c:v>
                </c:pt>
                <c:pt idx="11">
                  <c:v>-2.419541184715833</c:v>
                </c:pt>
                <c:pt idx="12">
                  <c:v>-1.8859180920698757</c:v>
                </c:pt>
                <c:pt idx="13">
                  <c:v>-1.3659809072038163</c:v>
                </c:pt>
                <c:pt idx="14">
                  <c:v>-0.9958248432963559</c:v>
                </c:pt>
                <c:pt idx="15">
                  <c:v>-0.76322806642312113</c:v>
                </c:pt>
                <c:pt idx="16">
                  <c:v>-0.74031212781492073</c:v>
                </c:pt>
              </c:numCache>
            </c:numRef>
          </c:val>
        </c:ser>
        <c:ser>
          <c:idx val="3"/>
          <c:order val="3"/>
          <c:tx>
            <c:v>Mujeres 2012</c:v>
          </c:tx>
          <c:spPr>
            <a:noFill/>
            <a:ln w="25400">
              <a:solidFill>
                <a:schemeClr val="tx1"/>
              </a:solidFill>
            </a:ln>
          </c:spPr>
          <c:invertIfNegative val="0"/>
          <c:val>
            <c:numRef>
              <c:f>'Base para grafica'!$F$25:$F$41</c:f>
              <c:numCache>
                <c:formatCode>#,##0.0</c:formatCode>
                <c:ptCount val="17"/>
                <c:pt idx="0">
                  <c:v>6.4184361272318373</c:v>
                </c:pt>
                <c:pt idx="1">
                  <c:v>6.3728588715555272</c:v>
                </c:pt>
                <c:pt idx="2">
                  <c:v>6.5030341339271107</c:v>
                </c:pt>
                <c:pt idx="3">
                  <c:v>6.2480943169108807</c:v>
                </c:pt>
                <c:pt idx="4">
                  <c:v>5.608230386661905</c:v>
                </c:pt>
                <c:pt idx="5">
                  <c:v>5.0620671831664605</c:v>
                </c:pt>
                <c:pt idx="6">
                  <c:v>4.5134214196551277</c:v>
                </c:pt>
                <c:pt idx="7">
                  <c:v>3.9915745732383852</c:v>
                </c:pt>
                <c:pt idx="8">
                  <c:v>3.8661734647435102</c:v>
                </c:pt>
                <c:pt idx="9">
                  <c:v>3.7008604298393526</c:v>
                </c:pt>
                <c:pt idx="10">
                  <c:v>3.1912990727320061</c:v>
                </c:pt>
                <c:pt idx="11">
                  <c:v>2.5049030560313796</c:v>
                </c:pt>
                <c:pt idx="12">
                  <c:v>1.9698795449149213</c:v>
                </c:pt>
                <c:pt idx="13">
                  <c:v>1.4748952709777914</c:v>
                </c:pt>
                <c:pt idx="14">
                  <c:v>1.1266366595181669</c:v>
                </c:pt>
                <c:pt idx="15">
                  <c:v>0.94190873218206206</c:v>
                </c:pt>
                <c:pt idx="16">
                  <c:v>0.97163579698769986</c:v>
                </c:pt>
              </c:numCache>
            </c:numRef>
          </c:val>
        </c:ser>
        <c:dLbls>
          <c:showLegendKey val="0"/>
          <c:showVal val="0"/>
          <c:showCatName val="0"/>
          <c:showSerName val="0"/>
          <c:showPercent val="0"/>
          <c:showBubbleSize val="0"/>
        </c:dLbls>
        <c:gapWidth val="0"/>
        <c:overlap val="100"/>
        <c:axId val="281870336"/>
        <c:axId val="281871872"/>
      </c:barChart>
      <c:catAx>
        <c:axId val="281870336"/>
        <c:scaling>
          <c:orientation val="minMax"/>
        </c:scaling>
        <c:delete val="0"/>
        <c:axPos val="l"/>
        <c:numFmt formatCode="General" sourceLinked="1"/>
        <c:majorTickMark val="out"/>
        <c:minorTickMark val="none"/>
        <c:tickLblPos val="low"/>
        <c:txPr>
          <a:bodyPr rot="0" vert="horz"/>
          <a:lstStyle/>
          <a:p>
            <a:pPr>
              <a:defRPr/>
            </a:pPr>
            <a:endParaRPr lang="es-ES"/>
          </a:p>
        </c:txPr>
        <c:crossAx val="281871872"/>
        <c:crosses val="autoZero"/>
        <c:auto val="1"/>
        <c:lblAlgn val="ctr"/>
        <c:lblOffset val="100"/>
        <c:noMultiLvlLbl val="0"/>
      </c:catAx>
      <c:valAx>
        <c:axId val="281871872"/>
        <c:scaling>
          <c:orientation val="minMax"/>
        </c:scaling>
        <c:delete val="0"/>
        <c:axPos val="b"/>
        <c:numFmt formatCode="0&quot;%&quot;;0&quot;%&quot;" sourceLinked="0"/>
        <c:majorTickMark val="out"/>
        <c:minorTickMark val="none"/>
        <c:tickLblPos val="nextTo"/>
        <c:txPr>
          <a:bodyPr rot="0" vert="horz"/>
          <a:lstStyle/>
          <a:p>
            <a:pPr>
              <a:defRPr/>
            </a:pPr>
            <a:endParaRPr lang="es-ES"/>
          </a:p>
        </c:txPr>
        <c:crossAx val="281870336"/>
        <c:crosses val="autoZero"/>
        <c:crossBetween val="between"/>
      </c:valAx>
    </c:plotArea>
    <c:legend>
      <c:legendPos val="b"/>
      <c:overlay val="0"/>
    </c:legend>
    <c:plotVisOnly val="1"/>
    <c:dispBlanksAs val="gap"/>
    <c:showDLblsOverMax val="0"/>
  </c:chart>
  <c:spPr>
    <a:ln>
      <a:noFill/>
    </a:ln>
  </c:spPr>
  <c:txPr>
    <a:bodyPr/>
    <a:lstStyle/>
    <a:p>
      <a:pPr>
        <a:defRPr sz="900">
          <a:latin typeface="Arial" pitchFamily="34" charset="0"/>
          <a:cs typeface="Arial" pitchFamily="34" charset="0"/>
        </a:defRPr>
      </a:pPr>
      <a:endParaRPr lang="es-E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cat>
            <c:strRef>
              <c:f>Hoja1!$J$261:$J$284</c:f>
              <c:strCache>
                <c:ptCount val="24"/>
                <c:pt idx="0">
                  <c:v>Quindio</c:v>
                </c:pt>
                <c:pt idx="1">
                  <c:v>Risalarda</c:v>
                </c:pt>
                <c:pt idx="2">
                  <c:v>Valle del Cauca</c:v>
                </c:pt>
                <c:pt idx="3">
                  <c:v>Nariño</c:v>
                </c:pt>
                <c:pt idx="4">
                  <c:v>Norte de Santander</c:v>
                </c:pt>
                <c:pt idx="5">
                  <c:v>Chocó</c:v>
                </c:pt>
                <c:pt idx="6">
                  <c:v>Cauca</c:v>
                </c:pt>
                <c:pt idx="7">
                  <c:v>Tolima</c:v>
                </c:pt>
                <c:pt idx="8">
                  <c:v>Cundinamarca</c:v>
                </c:pt>
                <c:pt idx="9">
                  <c:v>Antioquia</c:v>
                </c:pt>
                <c:pt idx="10">
                  <c:v>Meta</c:v>
                </c:pt>
                <c:pt idx="11">
                  <c:v>Caldas</c:v>
                </c:pt>
                <c:pt idx="12">
                  <c:v>Huila</c:v>
                </c:pt>
                <c:pt idx="13">
                  <c:v>Caquetá</c:v>
                </c:pt>
                <c:pt idx="14">
                  <c:v>Bogota D,C</c:v>
                </c:pt>
                <c:pt idx="15">
                  <c:v>Córdoba</c:v>
                </c:pt>
                <c:pt idx="16">
                  <c:v>Sucre</c:v>
                </c:pt>
                <c:pt idx="17">
                  <c:v>Cesar</c:v>
                </c:pt>
                <c:pt idx="18">
                  <c:v>La Guajira</c:v>
                </c:pt>
                <c:pt idx="19">
                  <c:v>Atlántico</c:v>
                </c:pt>
                <c:pt idx="20">
                  <c:v>Magdalena</c:v>
                </c:pt>
                <c:pt idx="21">
                  <c:v>Santander</c:v>
                </c:pt>
                <c:pt idx="22">
                  <c:v>Bolivar</c:v>
                </c:pt>
                <c:pt idx="23">
                  <c:v>Boyacá</c:v>
                </c:pt>
              </c:strCache>
            </c:strRef>
          </c:cat>
          <c:val>
            <c:numRef>
              <c:f>Hoja1!$K$261:$K$284</c:f>
              <c:numCache>
                <c:formatCode>General</c:formatCode>
                <c:ptCount val="24"/>
                <c:pt idx="0">
                  <c:v>15.4</c:v>
                </c:pt>
                <c:pt idx="1">
                  <c:v>14.8</c:v>
                </c:pt>
                <c:pt idx="2">
                  <c:v>13.4</c:v>
                </c:pt>
                <c:pt idx="3">
                  <c:v>12.6</c:v>
                </c:pt>
                <c:pt idx="4">
                  <c:v>12.4</c:v>
                </c:pt>
                <c:pt idx="5">
                  <c:v>11.7</c:v>
                </c:pt>
                <c:pt idx="6">
                  <c:v>11.4</c:v>
                </c:pt>
                <c:pt idx="7">
                  <c:v>11.3</c:v>
                </c:pt>
                <c:pt idx="8">
                  <c:v>10.7</c:v>
                </c:pt>
                <c:pt idx="9">
                  <c:v>10.6</c:v>
                </c:pt>
                <c:pt idx="10">
                  <c:v>10.5</c:v>
                </c:pt>
                <c:pt idx="11">
                  <c:v>10.200000000000001</c:v>
                </c:pt>
                <c:pt idx="12">
                  <c:v>9.7000000000000011</c:v>
                </c:pt>
                <c:pt idx="13">
                  <c:v>9.6</c:v>
                </c:pt>
                <c:pt idx="14">
                  <c:v>9.5</c:v>
                </c:pt>
                <c:pt idx="15">
                  <c:v>9.4</c:v>
                </c:pt>
                <c:pt idx="16">
                  <c:v>9.2000000000000011</c:v>
                </c:pt>
                <c:pt idx="17">
                  <c:v>9.2000000000000011</c:v>
                </c:pt>
                <c:pt idx="18">
                  <c:v>8.5</c:v>
                </c:pt>
                <c:pt idx="19">
                  <c:v>8</c:v>
                </c:pt>
                <c:pt idx="20">
                  <c:v>7.8</c:v>
                </c:pt>
                <c:pt idx="21">
                  <c:v>7.8</c:v>
                </c:pt>
                <c:pt idx="22">
                  <c:v>7.6</c:v>
                </c:pt>
                <c:pt idx="23">
                  <c:v>7.3</c:v>
                </c:pt>
              </c:numCache>
            </c:numRef>
          </c:val>
        </c:ser>
        <c:dLbls>
          <c:showLegendKey val="0"/>
          <c:showVal val="1"/>
          <c:showCatName val="0"/>
          <c:showSerName val="0"/>
          <c:showPercent val="0"/>
          <c:showBubbleSize val="0"/>
        </c:dLbls>
        <c:gapWidth val="150"/>
        <c:overlap val="-25"/>
        <c:axId val="285075712"/>
        <c:axId val="285159424"/>
      </c:barChart>
      <c:catAx>
        <c:axId val="285075712"/>
        <c:scaling>
          <c:orientation val="minMax"/>
        </c:scaling>
        <c:delete val="0"/>
        <c:axPos val="l"/>
        <c:majorTickMark val="none"/>
        <c:minorTickMark val="none"/>
        <c:tickLblPos val="nextTo"/>
        <c:crossAx val="285159424"/>
        <c:crosses val="autoZero"/>
        <c:auto val="1"/>
        <c:lblAlgn val="ctr"/>
        <c:lblOffset val="100"/>
        <c:noMultiLvlLbl val="0"/>
      </c:catAx>
      <c:valAx>
        <c:axId val="285159424"/>
        <c:scaling>
          <c:orientation val="minMax"/>
        </c:scaling>
        <c:delete val="1"/>
        <c:axPos val="b"/>
        <c:numFmt formatCode="General" sourceLinked="1"/>
        <c:majorTickMark val="out"/>
        <c:minorTickMark val="none"/>
        <c:tickLblPos val="none"/>
        <c:crossAx val="285075712"/>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s-E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100"/>
            </a:pPr>
            <a:r>
              <a:rPr lang="en-US" sz="1100"/>
              <a:t>Tasa de Desempleo</a:t>
            </a:r>
          </a:p>
        </c:rich>
      </c:tx>
      <c:overlay val="0"/>
    </c:title>
    <c:autoTitleDeleted val="0"/>
    <c:plotArea>
      <c:layout/>
      <c:scatterChart>
        <c:scatterStyle val="lineMarker"/>
        <c:varyColors val="0"/>
        <c:ser>
          <c:idx val="0"/>
          <c:order val="0"/>
          <c:tx>
            <c:v>TD</c:v>
          </c:tx>
          <c:spPr>
            <a:ln w="47625">
              <a:noFill/>
            </a:ln>
          </c:spPr>
          <c:dPt>
            <c:idx val="3"/>
            <c:marker>
              <c:symbol val="diamond"/>
              <c:size val="15"/>
              <c:spPr>
                <a:solidFill>
                  <a:srgbClr val="FF0000"/>
                </a:solidFill>
              </c:spPr>
            </c:marker>
            <c:bubble3D val="0"/>
          </c:dPt>
          <c:dPt>
            <c:idx val="4"/>
            <c:bubble3D val="0"/>
            <c:spPr>
              <a:ln w="47625">
                <a:solidFill>
                  <a:srgbClr val="FF0000"/>
                </a:solidFill>
              </a:ln>
            </c:spPr>
          </c:dPt>
          <c:dLbls>
            <c:dLbl>
              <c:idx val="0"/>
              <c:tx>
                <c:rich>
                  <a:bodyPr/>
                  <a:lstStyle/>
                  <a:p>
                    <a:r>
                      <a:rPr lang="en-US"/>
                      <a:t>ANT</a:t>
                    </a:r>
                  </a:p>
                </c:rich>
              </c:tx>
              <c:showLegendKey val="0"/>
              <c:showVal val="0"/>
              <c:showCatName val="1"/>
              <c:showSerName val="0"/>
              <c:showPercent val="0"/>
              <c:showBubbleSize val="0"/>
            </c:dLbl>
            <c:dLbl>
              <c:idx val="1"/>
              <c:layout>
                <c:manualLayout>
                  <c:x val="0"/>
                  <c:y val="-2.3148148148148064E-2"/>
                </c:manualLayout>
              </c:layout>
              <c:tx>
                <c:rich>
                  <a:bodyPr/>
                  <a:lstStyle/>
                  <a:p>
                    <a:r>
                      <a:rPr lang="en-US"/>
                      <a:t>ATL</a:t>
                    </a:r>
                  </a:p>
                </c:rich>
              </c:tx>
              <c:showLegendKey val="0"/>
              <c:showVal val="0"/>
              <c:showCatName val="1"/>
              <c:showSerName val="0"/>
              <c:showPercent val="0"/>
              <c:showBubbleSize val="0"/>
            </c:dLbl>
            <c:dLbl>
              <c:idx val="2"/>
              <c:layout>
                <c:manualLayout>
                  <c:x val="-0.05"/>
                  <c:y val="0.16203703703703717"/>
                </c:manualLayout>
              </c:layout>
              <c:tx>
                <c:rich>
                  <a:bodyPr/>
                  <a:lstStyle/>
                  <a:p>
                    <a:r>
                      <a:rPr lang="en-US"/>
                      <a:t>BOG</a:t>
                    </a:r>
                  </a:p>
                </c:rich>
              </c:tx>
              <c:showLegendKey val="0"/>
              <c:showVal val="0"/>
              <c:showCatName val="1"/>
              <c:showSerName val="0"/>
              <c:showPercent val="0"/>
              <c:showBubbleSize val="0"/>
            </c:dLbl>
            <c:dLbl>
              <c:idx val="3"/>
              <c:layout>
                <c:manualLayout>
                  <c:x val="-1.1111111111111122E-2"/>
                  <c:y val="0"/>
                </c:manualLayout>
              </c:layout>
              <c:tx>
                <c:rich>
                  <a:bodyPr/>
                  <a:lstStyle/>
                  <a:p>
                    <a:r>
                      <a:rPr lang="en-US"/>
                      <a:t>BOL</a:t>
                    </a:r>
                  </a:p>
                </c:rich>
              </c:tx>
              <c:showLegendKey val="0"/>
              <c:showVal val="0"/>
              <c:showCatName val="1"/>
              <c:showSerName val="0"/>
              <c:showPercent val="0"/>
              <c:showBubbleSize val="0"/>
            </c:dLbl>
            <c:dLbl>
              <c:idx val="4"/>
              <c:layout>
                <c:manualLayout>
                  <c:x val="-3.0555555555555572E-2"/>
                  <c:y val="-5.0925925925925923E-2"/>
                </c:manualLayout>
              </c:layout>
              <c:tx>
                <c:rich>
                  <a:bodyPr/>
                  <a:lstStyle/>
                  <a:p>
                    <a:r>
                      <a:rPr lang="en-US"/>
                      <a:t>BOY</a:t>
                    </a:r>
                  </a:p>
                </c:rich>
              </c:tx>
              <c:showLegendKey val="0"/>
              <c:showVal val="0"/>
              <c:showCatName val="1"/>
              <c:showSerName val="0"/>
              <c:showPercent val="0"/>
              <c:showBubbleSize val="0"/>
            </c:dLbl>
            <c:dLbl>
              <c:idx val="5"/>
              <c:tx>
                <c:rich>
                  <a:bodyPr/>
                  <a:lstStyle/>
                  <a:p>
                    <a:r>
                      <a:rPr lang="en-US"/>
                      <a:t>CAL</a:t>
                    </a:r>
                  </a:p>
                </c:rich>
              </c:tx>
              <c:showLegendKey val="0"/>
              <c:showVal val="0"/>
              <c:showCatName val="1"/>
              <c:showSerName val="0"/>
              <c:showPercent val="0"/>
              <c:showBubbleSize val="0"/>
            </c:dLbl>
            <c:dLbl>
              <c:idx val="6"/>
              <c:tx>
                <c:rich>
                  <a:bodyPr/>
                  <a:lstStyle/>
                  <a:p>
                    <a:r>
                      <a:rPr lang="en-US"/>
                      <a:t>CAQ</a:t>
                    </a:r>
                  </a:p>
                </c:rich>
              </c:tx>
              <c:showLegendKey val="0"/>
              <c:showVal val="0"/>
              <c:showCatName val="1"/>
              <c:showSerName val="0"/>
              <c:showPercent val="0"/>
              <c:showBubbleSize val="0"/>
            </c:dLbl>
            <c:dLbl>
              <c:idx val="7"/>
              <c:tx>
                <c:rich>
                  <a:bodyPr/>
                  <a:lstStyle/>
                  <a:p>
                    <a:r>
                      <a:rPr lang="en-US"/>
                      <a:t>CAU</a:t>
                    </a:r>
                  </a:p>
                </c:rich>
              </c:tx>
              <c:showLegendKey val="0"/>
              <c:showVal val="0"/>
              <c:showCatName val="1"/>
              <c:showSerName val="0"/>
              <c:showPercent val="0"/>
              <c:showBubbleSize val="0"/>
            </c:dLbl>
            <c:dLbl>
              <c:idx val="8"/>
              <c:layout>
                <c:manualLayout>
                  <c:x val="-0.10277777777777777"/>
                  <c:y val="-5.555592009332172E-2"/>
                </c:manualLayout>
              </c:layout>
              <c:tx>
                <c:rich>
                  <a:bodyPr/>
                  <a:lstStyle/>
                  <a:p>
                    <a:r>
                      <a:rPr lang="en-US"/>
                      <a:t>CES</a:t>
                    </a:r>
                  </a:p>
                </c:rich>
              </c:tx>
              <c:showLegendKey val="0"/>
              <c:showVal val="0"/>
              <c:showCatName val="1"/>
              <c:showSerName val="0"/>
              <c:showPercent val="0"/>
              <c:showBubbleSize val="0"/>
            </c:dLbl>
            <c:dLbl>
              <c:idx val="9"/>
              <c:tx>
                <c:rich>
                  <a:bodyPr/>
                  <a:lstStyle/>
                  <a:p>
                    <a:r>
                      <a:rPr lang="en-US"/>
                      <a:t>COR</a:t>
                    </a:r>
                  </a:p>
                </c:rich>
              </c:tx>
              <c:showLegendKey val="0"/>
              <c:showVal val="0"/>
              <c:showCatName val="1"/>
              <c:showSerName val="0"/>
              <c:showPercent val="0"/>
              <c:showBubbleSize val="0"/>
            </c:dLbl>
            <c:dLbl>
              <c:idx val="10"/>
              <c:layout>
                <c:manualLayout>
                  <c:x val="-1.9444444444444445E-2"/>
                  <c:y val="6.944444444444442E-2"/>
                </c:manualLayout>
              </c:layout>
              <c:tx>
                <c:rich>
                  <a:bodyPr/>
                  <a:lstStyle/>
                  <a:p>
                    <a:r>
                      <a:rPr lang="en-US"/>
                      <a:t>CUND</a:t>
                    </a:r>
                  </a:p>
                </c:rich>
              </c:tx>
              <c:showLegendKey val="0"/>
              <c:showVal val="0"/>
              <c:showCatName val="1"/>
              <c:showSerName val="0"/>
              <c:showPercent val="0"/>
              <c:showBubbleSize val="0"/>
            </c:dLbl>
            <c:dLbl>
              <c:idx val="11"/>
              <c:tx>
                <c:rich>
                  <a:bodyPr/>
                  <a:lstStyle/>
                  <a:p>
                    <a:r>
                      <a:rPr lang="en-US"/>
                      <a:t>CHO</a:t>
                    </a:r>
                  </a:p>
                </c:rich>
              </c:tx>
              <c:showLegendKey val="0"/>
              <c:showVal val="0"/>
              <c:showCatName val="1"/>
              <c:showSerName val="0"/>
              <c:showPercent val="0"/>
              <c:showBubbleSize val="0"/>
            </c:dLbl>
            <c:dLbl>
              <c:idx val="12"/>
              <c:tx>
                <c:rich>
                  <a:bodyPr/>
                  <a:lstStyle/>
                  <a:p>
                    <a:r>
                      <a:rPr lang="en-US"/>
                      <a:t>HLA</a:t>
                    </a:r>
                  </a:p>
                </c:rich>
              </c:tx>
              <c:showLegendKey val="0"/>
              <c:showVal val="0"/>
              <c:showCatName val="1"/>
              <c:showSerName val="0"/>
              <c:showPercent val="0"/>
              <c:showBubbleSize val="0"/>
            </c:dLbl>
            <c:dLbl>
              <c:idx val="13"/>
              <c:tx>
                <c:rich>
                  <a:bodyPr/>
                  <a:lstStyle/>
                  <a:p>
                    <a:r>
                      <a:rPr lang="en-US"/>
                      <a:t>GJR</a:t>
                    </a:r>
                  </a:p>
                </c:rich>
              </c:tx>
              <c:showLegendKey val="0"/>
              <c:showVal val="0"/>
              <c:showCatName val="1"/>
              <c:showSerName val="0"/>
              <c:showPercent val="0"/>
              <c:showBubbleSize val="0"/>
            </c:dLbl>
            <c:dLbl>
              <c:idx val="14"/>
              <c:tx>
                <c:rich>
                  <a:bodyPr/>
                  <a:lstStyle/>
                  <a:p>
                    <a:r>
                      <a:rPr lang="en-US"/>
                      <a:t>MAG</a:t>
                    </a:r>
                  </a:p>
                </c:rich>
              </c:tx>
              <c:showLegendKey val="0"/>
              <c:showVal val="0"/>
              <c:showCatName val="1"/>
              <c:showSerName val="0"/>
              <c:showPercent val="0"/>
              <c:showBubbleSize val="0"/>
            </c:dLbl>
            <c:dLbl>
              <c:idx val="15"/>
              <c:tx>
                <c:rich>
                  <a:bodyPr/>
                  <a:lstStyle/>
                  <a:p>
                    <a:r>
                      <a:rPr lang="en-US"/>
                      <a:t>MET</a:t>
                    </a:r>
                  </a:p>
                </c:rich>
              </c:tx>
              <c:showLegendKey val="0"/>
              <c:showVal val="0"/>
              <c:showCatName val="1"/>
              <c:showSerName val="0"/>
              <c:showPercent val="0"/>
              <c:showBubbleSize val="0"/>
            </c:dLbl>
            <c:dLbl>
              <c:idx val="16"/>
              <c:tx>
                <c:rich>
                  <a:bodyPr/>
                  <a:lstStyle/>
                  <a:p>
                    <a:r>
                      <a:rPr lang="en-US"/>
                      <a:t>NAR</a:t>
                    </a:r>
                  </a:p>
                </c:rich>
              </c:tx>
              <c:showLegendKey val="0"/>
              <c:showVal val="0"/>
              <c:showCatName val="1"/>
              <c:showSerName val="0"/>
              <c:showPercent val="0"/>
              <c:showBubbleSize val="0"/>
            </c:dLbl>
            <c:dLbl>
              <c:idx val="17"/>
              <c:tx>
                <c:rich>
                  <a:bodyPr/>
                  <a:lstStyle/>
                  <a:p>
                    <a:r>
                      <a:rPr lang="en-US"/>
                      <a:t>NSAN</a:t>
                    </a:r>
                  </a:p>
                </c:rich>
              </c:tx>
              <c:showLegendKey val="0"/>
              <c:showVal val="0"/>
              <c:showCatName val="1"/>
              <c:showSerName val="0"/>
              <c:showPercent val="0"/>
              <c:showBubbleSize val="0"/>
            </c:dLbl>
            <c:dLbl>
              <c:idx val="18"/>
              <c:tx>
                <c:rich>
                  <a:bodyPr/>
                  <a:lstStyle/>
                  <a:p>
                    <a:r>
                      <a:rPr lang="en-US"/>
                      <a:t>QUIN</a:t>
                    </a:r>
                  </a:p>
                </c:rich>
              </c:tx>
              <c:showLegendKey val="0"/>
              <c:showVal val="0"/>
              <c:showCatName val="1"/>
              <c:showSerName val="0"/>
              <c:showPercent val="0"/>
              <c:showBubbleSize val="0"/>
            </c:dLbl>
            <c:dLbl>
              <c:idx val="19"/>
              <c:tx>
                <c:rich>
                  <a:bodyPr/>
                  <a:lstStyle/>
                  <a:p>
                    <a:r>
                      <a:rPr lang="en-US"/>
                      <a:t>RIS</a:t>
                    </a:r>
                  </a:p>
                </c:rich>
              </c:tx>
              <c:showLegendKey val="0"/>
              <c:showVal val="0"/>
              <c:showCatName val="1"/>
              <c:showSerName val="0"/>
              <c:showPercent val="0"/>
              <c:showBubbleSize val="0"/>
            </c:dLbl>
            <c:dLbl>
              <c:idx val="20"/>
              <c:layout>
                <c:manualLayout>
                  <c:x val="-3.0555555555555572E-2"/>
                  <c:y val="6.0185185185185147E-2"/>
                </c:manualLayout>
              </c:layout>
              <c:tx>
                <c:rich>
                  <a:bodyPr/>
                  <a:lstStyle/>
                  <a:p>
                    <a:r>
                      <a:rPr lang="en-US"/>
                      <a:t>SAN</a:t>
                    </a:r>
                  </a:p>
                </c:rich>
              </c:tx>
              <c:showLegendKey val="0"/>
              <c:showVal val="0"/>
              <c:showCatName val="1"/>
              <c:showSerName val="0"/>
              <c:showPercent val="0"/>
              <c:showBubbleSize val="0"/>
            </c:dLbl>
            <c:dLbl>
              <c:idx val="21"/>
              <c:layout>
                <c:manualLayout>
                  <c:x val="-3.6111111111111135E-2"/>
                  <c:y val="-7.407407407407407E-2"/>
                </c:manualLayout>
              </c:layout>
              <c:tx>
                <c:rich>
                  <a:bodyPr/>
                  <a:lstStyle/>
                  <a:p>
                    <a:r>
                      <a:rPr lang="en-US"/>
                      <a:t>SUC</a:t>
                    </a:r>
                  </a:p>
                </c:rich>
              </c:tx>
              <c:showLegendKey val="0"/>
              <c:showVal val="0"/>
              <c:showCatName val="1"/>
              <c:showSerName val="0"/>
              <c:showPercent val="0"/>
              <c:showBubbleSize val="0"/>
            </c:dLbl>
            <c:dLbl>
              <c:idx val="22"/>
              <c:tx>
                <c:rich>
                  <a:bodyPr/>
                  <a:lstStyle/>
                  <a:p>
                    <a:r>
                      <a:rPr lang="en-US"/>
                      <a:t>TOL</a:t>
                    </a:r>
                  </a:p>
                </c:rich>
              </c:tx>
              <c:showLegendKey val="0"/>
              <c:showVal val="0"/>
              <c:showCatName val="1"/>
              <c:showSerName val="0"/>
              <c:showPercent val="0"/>
              <c:showBubbleSize val="0"/>
            </c:dLbl>
            <c:dLbl>
              <c:idx val="23"/>
              <c:tx>
                <c:rich>
                  <a:bodyPr/>
                  <a:lstStyle/>
                  <a:p>
                    <a:r>
                      <a:rPr lang="en-US"/>
                      <a:t>VALL</a:t>
                    </a:r>
                  </a:p>
                </c:rich>
              </c:tx>
              <c:showLegendKey val="0"/>
              <c:showVal val="0"/>
              <c:showCatName val="1"/>
              <c:showSerName val="0"/>
              <c:showPercent val="0"/>
              <c:showBubbleSize val="0"/>
            </c:dLbl>
            <c:showLegendKey val="0"/>
            <c:showVal val="0"/>
            <c:showCatName val="1"/>
            <c:showSerName val="0"/>
            <c:showPercent val="0"/>
            <c:showBubbleSize val="0"/>
            <c:showLeaderLines val="0"/>
          </c:dLbls>
          <c:xVal>
            <c:numRef>
              <c:f>Hoja1!$B$2:$B$25</c:f>
              <c:numCache>
                <c:formatCode>General</c:formatCode>
                <c:ptCount val="24"/>
                <c:pt idx="0">
                  <c:v>10.629487000000006</c:v>
                </c:pt>
                <c:pt idx="1">
                  <c:v>7.9816617360000039</c:v>
                </c:pt>
                <c:pt idx="2">
                  <c:v>9.5350718190000006</c:v>
                </c:pt>
                <c:pt idx="3">
                  <c:v>7.6232570359999965</c:v>
                </c:pt>
                <c:pt idx="4">
                  <c:v>7.300960661999996</c:v>
                </c:pt>
                <c:pt idx="5">
                  <c:v>10.15011075</c:v>
                </c:pt>
                <c:pt idx="6">
                  <c:v>9.6034668830000047</c:v>
                </c:pt>
                <c:pt idx="7">
                  <c:v>11.41835287</c:v>
                </c:pt>
                <c:pt idx="8">
                  <c:v>9.1934397510000068</c:v>
                </c:pt>
                <c:pt idx="9">
                  <c:v>11.74259163</c:v>
                </c:pt>
                <c:pt idx="10">
                  <c:v>9.4081839699999996</c:v>
                </c:pt>
                <c:pt idx="11">
                  <c:v>10.732828959999999</c:v>
                </c:pt>
                <c:pt idx="12">
                  <c:v>9.7106753280000007</c:v>
                </c:pt>
                <c:pt idx="13">
                  <c:v>8.5034013610000017</c:v>
                </c:pt>
                <c:pt idx="14">
                  <c:v>7.831300785000006</c:v>
                </c:pt>
                <c:pt idx="15">
                  <c:v>10.528308299999999</c:v>
                </c:pt>
                <c:pt idx="16">
                  <c:v>12.601320039999999</c:v>
                </c:pt>
                <c:pt idx="17">
                  <c:v>12.44295088</c:v>
                </c:pt>
                <c:pt idx="18">
                  <c:v>15.389654810000014</c:v>
                </c:pt>
                <c:pt idx="19">
                  <c:v>14.810702290000007</c:v>
                </c:pt>
                <c:pt idx="20">
                  <c:v>7.7755981910000038</c:v>
                </c:pt>
                <c:pt idx="21">
                  <c:v>9.2283923580000007</c:v>
                </c:pt>
                <c:pt idx="22">
                  <c:v>11.27990308</c:v>
                </c:pt>
                <c:pt idx="23">
                  <c:v>13.4303402</c:v>
                </c:pt>
              </c:numCache>
            </c:numRef>
          </c:xVal>
          <c:yVal>
            <c:numRef>
              <c:f>Hoja1!$C$2:$C$25</c:f>
              <c:numCache>
                <c:formatCode>General</c:formatCode>
                <c:ptCount val="24"/>
                <c:pt idx="0">
                  <c:v>10.396732140000006</c:v>
                </c:pt>
                <c:pt idx="1">
                  <c:v>8.0872095450000003</c:v>
                </c:pt>
                <c:pt idx="2">
                  <c:v>9.5783779279999983</c:v>
                </c:pt>
                <c:pt idx="3">
                  <c:v>7.7220877129999961</c:v>
                </c:pt>
                <c:pt idx="4">
                  <c:v>7.9994951710000004</c:v>
                </c:pt>
                <c:pt idx="5">
                  <c:v>11.7778773</c:v>
                </c:pt>
                <c:pt idx="6">
                  <c:v>10.229620479999999</c:v>
                </c:pt>
                <c:pt idx="7">
                  <c:v>11.289496880000007</c:v>
                </c:pt>
                <c:pt idx="8">
                  <c:v>10.142308779999997</c:v>
                </c:pt>
                <c:pt idx="9">
                  <c:v>12.61217201</c:v>
                </c:pt>
                <c:pt idx="10">
                  <c:v>9.9089294429999999</c:v>
                </c:pt>
                <c:pt idx="11">
                  <c:v>11.893630390000007</c:v>
                </c:pt>
                <c:pt idx="12">
                  <c:v>7.9179906599999947</c:v>
                </c:pt>
                <c:pt idx="13">
                  <c:v>8.5982897909999991</c:v>
                </c:pt>
                <c:pt idx="14">
                  <c:v>9.7982697239999919</c:v>
                </c:pt>
                <c:pt idx="15">
                  <c:v>9.5095431590000068</c:v>
                </c:pt>
                <c:pt idx="16">
                  <c:v>14.252044890000011</c:v>
                </c:pt>
                <c:pt idx="17">
                  <c:v>12.239033170000001</c:v>
                </c:pt>
                <c:pt idx="18">
                  <c:v>17.744155070000001</c:v>
                </c:pt>
                <c:pt idx="19">
                  <c:v>14.795100789999999</c:v>
                </c:pt>
                <c:pt idx="20">
                  <c:v>7.5731730969999997</c:v>
                </c:pt>
                <c:pt idx="21">
                  <c:v>10.329661510000006</c:v>
                </c:pt>
                <c:pt idx="22">
                  <c:v>17.152945930000001</c:v>
                </c:pt>
                <c:pt idx="23">
                  <c:v>13.914182550000007</c:v>
                </c:pt>
              </c:numCache>
            </c:numRef>
          </c:yVal>
          <c:smooth val="0"/>
        </c:ser>
        <c:dLbls>
          <c:showLegendKey val="0"/>
          <c:showVal val="0"/>
          <c:showCatName val="0"/>
          <c:showSerName val="0"/>
          <c:showPercent val="0"/>
          <c:showBubbleSize val="0"/>
        </c:dLbls>
        <c:axId val="285209344"/>
        <c:axId val="285211264"/>
      </c:scatterChart>
      <c:valAx>
        <c:axId val="285209344"/>
        <c:scaling>
          <c:orientation val="minMax"/>
          <c:min val="5"/>
        </c:scaling>
        <c:delete val="0"/>
        <c:axPos val="b"/>
        <c:title>
          <c:tx>
            <c:rich>
              <a:bodyPr/>
              <a:lstStyle/>
              <a:p>
                <a:pPr>
                  <a:defRPr sz="700"/>
                </a:pPr>
                <a:r>
                  <a:rPr lang="es-CO" sz="700"/>
                  <a:t>2011</a:t>
                </a:r>
              </a:p>
            </c:rich>
          </c:tx>
          <c:layout>
            <c:manualLayout>
              <c:xMode val="edge"/>
              <c:yMode val="edge"/>
              <c:x val="6.0986001749781339E-2"/>
              <c:y val="0.56458333333333321"/>
            </c:manualLayout>
          </c:layout>
          <c:overlay val="0"/>
        </c:title>
        <c:numFmt formatCode="General" sourceLinked="1"/>
        <c:majorTickMark val="out"/>
        <c:minorTickMark val="none"/>
        <c:tickLblPos val="nextTo"/>
        <c:crossAx val="285211264"/>
        <c:crossesAt val="10.319571700000001"/>
        <c:crossBetween val="midCat"/>
      </c:valAx>
      <c:valAx>
        <c:axId val="285211264"/>
        <c:scaling>
          <c:orientation val="minMax"/>
          <c:min val="5"/>
        </c:scaling>
        <c:delete val="0"/>
        <c:axPos val="l"/>
        <c:title>
          <c:tx>
            <c:rich>
              <a:bodyPr rot="-5400000" vert="horz"/>
              <a:lstStyle/>
              <a:p>
                <a:pPr>
                  <a:defRPr sz="700"/>
                </a:pPr>
                <a:r>
                  <a:rPr lang="es-CO" sz="700"/>
                  <a:t>2012</a:t>
                </a:r>
              </a:p>
            </c:rich>
          </c:tx>
          <c:layout>
            <c:manualLayout>
              <c:xMode val="edge"/>
              <c:yMode val="edge"/>
              <c:x val="0.49666578625526919"/>
              <c:y val="0.10992976345246561"/>
            </c:manualLayout>
          </c:layout>
          <c:overlay val="0"/>
        </c:title>
        <c:numFmt formatCode="General" sourceLinked="1"/>
        <c:majorTickMark val="out"/>
        <c:minorTickMark val="none"/>
        <c:tickLblPos val="nextTo"/>
        <c:crossAx val="285209344"/>
        <c:crossesAt val="10.7936321"/>
        <c:crossBetween val="midCat"/>
      </c:valAx>
      <c:spPr>
        <a:noFill/>
        <a:ln w="25400">
          <a:noFill/>
        </a:ln>
      </c:spPr>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s-E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100"/>
            </a:pPr>
            <a:r>
              <a:rPr lang="en-US" sz="1100"/>
              <a:t>Tasa</a:t>
            </a:r>
            <a:r>
              <a:rPr lang="en-US" sz="1100" baseline="0"/>
              <a:t> de </a:t>
            </a:r>
            <a:r>
              <a:rPr lang="en-US" sz="1100"/>
              <a:t>Ocupación</a:t>
            </a:r>
          </a:p>
        </c:rich>
      </c:tx>
      <c:overlay val="0"/>
    </c:title>
    <c:autoTitleDeleted val="0"/>
    <c:plotArea>
      <c:layout/>
      <c:scatterChart>
        <c:scatterStyle val="lineMarker"/>
        <c:varyColors val="0"/>
        <c:ser>
          <c:idx val="0"/>
          <c:order val="0"/>
          <c:tx>
            <c:v>TO</c:v>
          </c:tx>
          <c:spPr>
            <a:ln w="47625">
              <a:noFill/>
            </a:ln>
          </c:spPr>
          <c:dPt>
            <c:idx val="4"/>
            <c:marker>
              <c:symbol val="diamond"/>
              <c:size val="15"/>
              <c:spPr>
                <a:solidFill>
                  <a:srgbClr val="FF0000"/>
                </a:solidFill>
              </c:spPr>
            </c:marker>
            <c:bubble3D val="0"/>
          </c:dPt>
          <c:dLbls>
            <c:dLbl>
              <c:idx val="0"/>
              <c:layout>
                <c:manualLayout>
                  <c:x val="-0.11111111111111116"/>
                  <c:y val="0.15277777777777779"/>
                </c:manualLayout>
              </c:layout>
              <c:tx>
                <c:rich>
                  <a:bodyPr/>
                  <a:lstStyle/>
                  <a:p>
                    <a:r>
                      <a:rPr lang="en-US"/>
                      <a:t>ANT</a:t>
                    </a:r>
                  </a:p>
                </c:rich>
              </c:tx>
              <c:showLegendKey val="0"/>
              <c:showVal val="0"/>
              <c:showCatName val="1"/>
              <c:showSerName val="0"/>
              <c:showPercent val="0"/>
              <c:showBubbleSize val="0"/>
            </c:dLbl>
            <c:dLbl>
              <c:idx val="1"/>
              <c:layout>
                <c:manualLayout>
                  <c:x val="-4.9999999999999989E-2"/>
                  <c:y val="-7.407407407407407E-2"/>
                </c:manualLayout>
              </c:layout>
              <c:tx>
                <c:rich>
                  <a:bodyPr/>
                  <a:lstStyle/>
                  <a:p>
                    <a:r>
                      <a:rPr lang="en-US"/>
                      <a:t>ATL</a:t>
                    </a:r>
                  </a:p>
                </c:rich>
              </c:tx>
              <c:showLegendKey val="0"/>
              <c:showVal val="0"/>
              <c:showCatName val="1"/>
              <c:showSerName val="0"/>
              <c:showPercent val="0"/>
              <c:showBubbleSize val="0"/>
            </c:dLbl>
            <c:dLbl>
              <c:idx val="2"/>
              <c:tx>
                <c:rich>
                  <a:bodyPr/>
                  <a:lstStyle/>
                  <a:p>
                    <a:r>
                      <a:rPr lang="en-US"/>
                      <a:t>BOG</a:t>
                    </a:r>
                  </a:p>
                </c:rich>
              </c:tx>
              <c:showLegendKey val="0"/>
              <c:showVal val="0"/>
              <c:showCatName val="1"/>
              <c:showSerName val="0"/>
              <c:showPercent val="0"/>
              <c:showBubbleSize val="0"/>
            </c:dLbl>
            <c:dLbl>
              <c:idx val="3"/>
              <c:layout>
                <c:manualLayout>
                  <c:x val="-1.1111111111111122E-2"/>
                  <c:y val="4.1666666666666664E-2"/>
                </c:manualLayout>
              </c:layout>
              <c:tx>
                <c:rich>
                  <a:bodyPr/>
                  <a:lstStyle/>
                  <a:p>
                    <a:r>
                      <a:rPr lang="en-US"/>
                      <a:t>BOL</a:t>
                    </a:r>
                  </a:p>
                </c:rich>
              </c:tx>
              <c:showLegendKey val="0"/>
              <c:showVal val="0"/>
              <c:showCatName val="1"/>
              <c:showSerName val="0"/>
              <c:showPercent val="0"/>
              <c:showBubbleSize val="0"/>
            </c:dLbl>
            <c:dLbl>
              <c:idx val="4"/>
              <c:layout>
                <c:manualLayout>
                  <c:x val="-7.7777777777777779E-2"/>
                  <c:y val="-6.9444444444444503E-2"/>
                </c:manualLayout>
              </c:layout>
              <c:tx>
                <c:rich>
                  <a:bodyPr/>
                  <a:lstStyle/>
                  <a:p>
                    <a:r>
                      <a:rPr lang="en-US"/>
                      <a:t>BOY</a:t>
                    </a:r>
                  </a:p>
                </c:rich>
              </c:tx>
              <c:showLegendKey val="0"/>
              <c:showVal val="0"/>
              <c:showCatName val="1"/>
              <c:showSerName val="0"/>
              <c:showPercent val="0"/>
              <c:showBubbleSize val="0"/>
            </c:dLbl>
            <c:dLbl>
              <c:idx val="5"/>
              <c:tx>
                <c:rich>
                  <a:bodyPr/>
                  <a:lstStyle/>
                  <a:p>
                    <a:r>
                      <a:rPr lang="en-US"/>
                      <a:t>CAL</a:t>
                    </a:r>
                  </a:p>
                </c:rich>
              </c:tx>
              <c:showLegendKey val="0"/>
              <c:showVal val="0"/>
              <c:showCatName val="1"/>
              <c:showSerName val="0"/>
              <c:showPercent val="0"/>
              <c:showBubbleSize val="0"/>
            </c:dLbl>
            <c:dLbl>
              <c:idx val="6"/>
              <c:tx>
                <c:rich>
                  <a:bodyPr/>
                  <a:lstStyle/>
                  <a:p>
                    <a:r>
                      <a:rPr lang="en-US"/>
                      <a:t>CAQ</a:t>
                    </a:r>
                  </a:p>
                </c:rich>
              </c:tx>
              <c:showLegendKey val="0"/>
              <c:showVal val="0"/>
              <c:showCatName val="1"/>
              <c:showSerName val="0"/>
              <c:showPercent val="0"/>
              <c:showBubbleSize val="0"/>
            </c:dLbl>
            <c:dLbl>
              <c:idx val="7"/>
              <c:tx>
                <c:rich>
                  <a:bodyPr/>
                  <a:lstStyle/>
                  <a:p>
                    <a:r>
                      <a:rPr lang="en-US"/>
                      <a:t>CAU</a:t>
                    </a:r>
                  </a:p>
                </c:rich>
              </c:tx>
              <c:showLegendKey val="0"/>
              <c:showVal val="0"/>
              <c:showCatName val="1"/>
              <c:showSerName val="0"/>
              <c:showPercent val="0"/>
              <c:showBubbleSize val="0"/>
            </c:dLbl>
            <c:dLbl>
              <c:idx val="8"/>
              <c:tx>
                <c:rich>
                  <a:bodyPr/>
                  <a:lstStyle/>
                  <a:p>
                    <a:r>
                      <a:rPr lang="en-US"/>
                      <a:t>CES</a:t>
                    </a:r>
                  </a:p>
                </c:rich>
              </c:tx>
              <c:showLegendKey val="0"/>
              <c:showVal val="0"/>
              <c:showCatName val="1"/>
              <c:showSerName val="0"/>
              <c:showPercent val="0"/>
              <c:showBubbleSize val="0"/>
            </c:dLbl>
            <c:dLbl>
              <c:idx val="9"/>
              <c:layout>
                <c:manualLayout>
                  <c:x val="-1.666666666666668E-2"/>
                  <c:y val="0.1111111111111111"/>
                </c:manualLayout>
              </c:layout>
              <c:tx>
                <c:rich>
                  <a:bodyPr/>
                  <a:lstStyle/>
                  <a:p>
                    <a:r>
                      <a:rPr lang="en-US"/>
                      <a:t>COR</a:t>
                    </a:r>
                  </a:p>
                </c:rich>
              </c:tx>
              <c:showLegendKey val="0"/>
              <c:showVal val="0"/>
              <c:showCatName val="1"/>
              <c:showSerName val="0"/>
              <c:showPercent val="0"/>
              <c:showBubbleSize val="0"/>
            </c:dLbl>
            <c:dLbl>
              <c:idx val="10"/>
              <c:tx>
                <c:rich>
                  <a:bodyPr/>
                  <a:lstStyle/>
                  <a:p>
                    <a:r>
                      <a:rPr lang="en-US"/>
                      <a:t>CUND</a:t>
                    </a:r>
                  </a:p>
                </c:rich>
              </c:tx>
              <c:showLegendKey val="0"/>
              <c:showVal val="0"/>
              <c:showCatName val="1"/>
              <c:showSerName val="0"/>
              <c:showPercent val="0"/>
              <c:showBubbleSize val="0"/>
            </c:dLbl>
            <c:dLbl>
              <c:idx val="11"/>
              <c:tx>
                <c:rich>
                  <a:bodyPr/>
                  <a:lstStyle/>
                  <a:p>
                    <a:r>
                      <a:rPr lang="en-US"/>
                      <a:t>CHO</a:t>
                    </a:r>
                  </a:p>
                </c:rich>
              </c:tx>
              <c:showLegendKey val="0"/>
              <c:showVal val="0"/>
              <c:showCatName val="1"/>
              <c:showSerName val="0"/>
              <c:showPercent val="0"/>
              <c:showBubbleSize val="0"/>
            </c:dLbl>
            <c:dLbl>
              <c:idx val="12"/>
              <c:tx>
                <c:rich>
                  <a:bodyPr/>
                  <a:lstStyle/>
                  <a:p>
                    <a:r>
                      <a:rPr lang="en-US"/>
                      <a:t>HLA</a:t>
                    </a:r>
                  </a:p>
                </c:rich>
              </c:tx>
              <c:showLegendKey val="0"/>
              <c:showVal val="0"/>
              <c:showCatName val="1"/>
              <c:showSerName val="0"/>
              <c:showPercent val="0"/>
              <c:showBubbleSize val="0"/>
            </c:dLbl>
            <c:dLbl>
              <c:idx val="13"/>
              <c:tx>
                <c:rich>
                  <a:bodyPr/>
                  <a:lstStyle/>
                  <a:p>
                    <a:r>
                      <a:rPr lang="en-US"/>
                      <a:t>GJR</a:t>
                    </a:r>
                  </a:p>
                </c:rich>
              </c:tx>
              <c:showLegendKey val="0"/>
              <c:showVal val="0"/>
              <c:showCatName val="1"/>
              <c:showSerName val="0"/>
              <c:showPercent val="0"/>
              <c:showBubbleSize val="0"/>
            </c:dLbl>
            <c:dLbl>
              <c:idx val="14"/>
              <c:layout>
                <c:manualLayout>
                  <c:x val="-1.3888888888888904E-2"/>
                  <c:y val="-2.7777777777777821E-2"/>
                </c:manualLayout>
              </c:layout>
              <c:tx>
                <c:rich>
                  <a:bodyPr/>
                  <a:lstStyle/>
                  <a:p>
                    <a:r>
                      <a:rPr lang="en-US"/>
                      <a:t>MAG</a:t>
                    </a:r>
                  </a:p>
                </c:rich>
              </c:tx>
              <c:showLegendKey val="0"/>
              <c:showVal val="0"/>
              <c:showCatName val="1"/>
              <c:showSerName val="0"/>
              <c:showPercent val="0"/>
              <c:showBubbleSize val="0"/>
            </c:dLbl>
            <c:dLbl>
              <c:idx val="15"/>
              <c:tx>
                <c:rich>
                  <a:bodyPr/>
                  <a:lstStyle/>
                  <a:p>
                    <a:r>
                      <a:rPr lang="en-US"/>
                      <a:t>MET</a:t>
                    </a:r>
                  </a:p>
                </c:rich>
              </c:tx>
              <c:showLegendKey val="0"/>
              <c:showVal val="0"/>
              <c:showCatName val="1"/>
              <c:showSerName val="0"/>
              <c:showPercent val="0"/>
              <c:showBubbleSize val="0"/>
            </c:dLbl>
            <c:dLbl>
              <c:idx val="16"/>
              <c:tx>
                <c:rich>
                  <a:bodyPr/>
                  <a:lstStyle/>
                  <a:p>
                    <a:r>
                      <a:rPr lang="en-US"/>
                      <a:t>NAR</a:t>
                    </a:r>
                  </a:p>
                </c:rich>
              </c:tx>
              <c:showLegendKey val="0"/>
              <c:showVal val="0"/>
              <c:showCatName val="1"/>
              <c:showSerName val="0"/>
              <c:showPercent val="0"/>
              <c:showBubbleSize val="0"/>
            </c:dLbl>
            <c:dLbl>
              <c:idx val="17"/>
              <c:layout>
                <c:manualLayout>
                  <c:x val="-4.1666666666666664E-2"/>
                  <c:y val="0.23148148148148173"/>
                </c:manualLayout>
              </c:layout>
              <c:tx>
                <c:rich>
                  <a:bodyPr/>
                  <a:lstStyle/>
                  <a:p>
                    <a:r>
                      <a:rPr lang="en-US"/>
                      <a:t>NSAN</a:t>
                    </a:r>
                  </a:p>
                </c:rich>
              </c:tx>
              <c:showLegendKey val="0"/>
              <c:showVal val="0"/>
              <c:showCatName val="1"/>
              <c:showSerName val="0"/>
              <c:showPercent val="0"/>
              <c:showBubbleSize val="0"/>
            </c:dLbl>
            <c:dLbl>
              <c:idx val="18"/>
              <c:layout>
                <c:manualLayout>
                  <c:x val="1.9444444444444445E-2"/>
                  <c:y val="8.7962962962963062E-2"/>
                </c:manualLayout>
              </c:layout>
              <c:tx>
                <c:rich>
                  <a:bodyPr/>
                  <a:lstStyle/>
                  <a:p>
                    <a:r>
                      <a:rPr lang="en-US"/>
                      <a:t>QUIN</a:t>
                    </a:r>
                  </a:p>
                </c:rich>
              </c:tx>
              <c:showLegendKey val="0"/>
              <c:showVal val="0"/>
              <c:showCatName val="1"/>
              <c:showSerName val="0"/>
              <c:showPercent val="0"/>
              <c:showBubbleSize val="0"/>
            </c:dLbl>
            <c:dLbl>
              <c:idx val="19"/>
              <c:layout>
                <c:manualLayout>
                  <c:x val="-6.3888888888888939E-2"/>
                  <c:y val="7.407407407407407E-2"/>
                </c:manualLayout>
              </c:layout>
              <c:tx>
                <c:rich>
                  <a:bodyPr/>
                  <a:lstStyle/>
                  <a:p>
                    <a:r>
                      <a:rPr lang="en-US"/>
                      <a:t>RIS</a:t>
                    </a:r>
                  </a:p>
                </c:rich>
              </c:tx>
              <c:showLegendKey val="0"/>
              <c:showVal val="0"/>
              <c:showCatName val="1"/>
              <c:showSerName val="0"/>
              <c:showPercent val="0"/>
              <c:showBubbleSize val="0"/>
            </c:dLbl>
            <c:dLbl>
              <c:idx val="20"/>
              <c:tx>
                <c:rich>
                  <a:bodyPr/>
                  <a:lstStyle/>
                  <a:p>
                    <a:r>
                      <a:rPr lang="en-US"/>
                      <a:t>SAN</a:t>
                    </a:r>
                  </a:p>
                </c:rich>
              </c:tx>
              <c:showLegendKey val="0"/>
              <c:showVal val="0"/>
              <c:showCatName val="1"/>
              <c:showSerName val="0"/>
              <c:showPercent val="0"/>
              <c:showBubbleSize val="0"/>
            </c:dLbl>
            <c:dLbl>
              <c:idx val="21"/>
              <c:layout>
                <c:manualLayout>
                  <c:x val="-8.3333333333333367E-3"/>
                  <c:y val="-6.9444444444444503E-2"/>
                </c:manualLayout>
              </c:layout>
              <c:tx>
                <c:rich>
                  <a:bodyPr/>
                  <a:lstStyle/>
                  <a:p>
                    <a:r>
                      <a:rPr lang="en-US"/>
                      <a:t>SUC</a:t>
                    </a:r>
                  </a:p>
                </c:rich>
              </c:tx>
              <c:showLegendKey val="0"/>
              <c:showVal val="0"/>
              <c:showCatName val="1"/>
              <c:showSerName val="0"/>
              <c:showPercent val="0"/>
              <c:showBubbleSize val="0"/>
            </c:dLbl>
            <c:dLbl>
              <c:idx val="22"/>
              <c:tx>
                <c:rich>
                  <a:bodyPr/>
                  <a:lstStyle/>
                  <a:p>
                    <a:r>
                      <a:rPr lang="en-US"/>
                      <a:t>TOL</a:t>
                    </a:r>
                  </a:p>
                </c:rich>
              </c:tx>
              <c:showLegendKey val="0"/>
              <c:showVal val="0"/>
              <c:showCatName val="1"/>
              <c:showSerName val="0"/>
              <c:showPercent val="0"/>
              <c:showBubbleSize val="0"/>
            </c:dLbl>
            <c:dLbl>
              <c:idx val="23"/>
              <c:layout>
                <c:manualLayout>
                  <c:x val="-8.6111111111111013E-2"/>
                  <c:y val="0.15277777777777779"/>
                </c:manualLayout>
              </c:layout>
              <c:tx>
                <c:rich>
                  <a:bodyPr/>
                  <a:lstStyle/>
                  <a:p>
                    <a:r>
                      <a:rPr lang="en-US"/>
                      <a:t>VALL</a:t>
                    </a:r>
                  </a:p>
                </c:rich>
              </c:tx>
              <c:showLegendKey val="0"/>
              <c:showVal val="0"/>
              <c:showCatName val="1"/>
              <c:showSerName val="0"/>
              <c:showPercent val="0"/>
              <c:showBubbleSize val="0"/>
            </c:dLbl>
            <c:showLegendKey val="0"/>
            <c:showVal val="0"/>
            <c:showCatName val="1"/>
            <c:showSerName val="0"/>
            <c:showPercent val="0"/>
            <c:showBubbleSize val="0"/>
            <c:showLeaderLines val="0"/>
          </c:dLbls>
          <c:xVal>
            <c:numRef>
              <c:f>Hoja2!$B$2:$B$25</c:f>
              <c:numCache>
                <c:formatCode>General</c:formatCode>
                <c:ptCount val="24"/>
                <c:pt idx="0">
                  <c:v>55.195748662712354</c:v>
                </c:pt>
                <c:pt idx="1">
                  <c:v>54.206822483827274</c:v>
                </c:pt>
                <c:pt idx="2">
                  <c:v>64.139683816271727</c:v>
                </c:pt>
                <c:pt idx="3">
                  <c:v>53.904355442979067</c:v>
                </c:pt>
                <c:pt idx="4">
                  <c:v>53.792841422541152</c:v>
                </c:pt>
                <c:pt idx="5">
                  <c:v>46.457234087630191</c:v>
                </c:pt>
                <c:pt idx="6">
                  <c:v>47.694895840790323</c:v>
                </c:pt>
                <c:pt idx="7">
                  <c:v>49.998614655417008</c:v>
                </c:pt>
                <c:pt idx="8">
                  <c:v>50.651803177600648</c:v>
                </c:pt>
                <c:pt idx="9">
                  <c:v>57.343684671265741</c:v>
                </c:pt>
                <c:pt idx="10">
                  <c:v>62.824363139826701</c:v>
                </c:pt>
                <c:pt idx="11">
                  <c:v>48.633817140774461</c:v>
                </c:pt>
                <c:pt idx="12">
                  <c:v>56.626942116500416</c:v>
                </c:pt>
                <c:pt idx="13">
                  <c:v>57.566650797429183</c:v>
                </c:pt>
                <c:pt idx="14">
                  <c:v>49.895592909967561</c:v>
                </c:pt>
                <c:pt idx="15">
                  <c:v>58.188093259390243</c:v>
                </c:pt>
                <c:pt idx="16">
                  <c:v>58.963484240899554</c:v>
                </c:pt>
                <c:pt idx="17">
                  <c:v>53.430301350060148</c:v>
                </c:pt>
                <c:pt idx="18">
                  <c:v>50.130750256891112</c:v>
                </c:pt>
                <c:pt idx="19">
                  <c:v>54.449643579584567</c:v>
                </c:pt>
                <c:pt idx="20">
                  <c:v>62.372284283737955</c:v>
                </c:pt>
                <c:pt idx="21">
                  <c:v>49.732141579354952</c:v>
                </c:pt>
                <c:pt idx="22">
                  <c:v>58.881923248647745</c:v>
                </c:pt>
                <c:pt idx="23">
                  <c:v>56.182132715015683</c:v>
                </c:pt>
              </c:numCache>
            </c:numRef>
          </c:xVal>
          <c:yVal>
            <c:numRef>
              <c:f>Hoja2!$C$2:$C$25</c:f>
              <c:numCache>
                <c:formatCode>General</c:formatCode>
                <c:ptCount val="24"/>
                <c:pt idx="0">
                  <c:v>56.790499718319978</c:v>
                </c:pt>
                <c:pt idx="1">
                  <c:v>54.835773152532077</c:v>
                </c:pt>
                <c:pt idx="2">
                  <c:v>65.241411528720533</c:v>
                </c:pt>
                <c:pt idx="3">
                  <c:v>55.222958853474104</c:v>
                </c:pt>
                <c:pt idx="4">
                  <c:v>54.516408207127157</c:v>
                </c:pt>
                <c:pt idx="5">
                  <c:v>47.999773893491273</c:v>
                </c:pt>
                <c:pt idx="6">
                  <c:v>47.618559208540553</c:v>
                </c:pt>
                <c:pt idx="7">
                  <c:v>49.939595359641025</c:v>
                </c:pt>
                <c:pt idx="8">
                  <c:v>52.135553710649653</c:v>
                </c:pt>
                <c:pt idx="9">
                  <c:v>55.862585215023167</c:v>
                </c:pt>
                <c:pt idx="10">
                  <c:v>63.074647731871494</c:v>
                </c:pt>
                <c:pt idx="11">
                  <c:v>45.360714151104773</c:v>
                </c:pt>
                <c:pt idx="12">
                  <c:v>58.891475363730294</c:v>
                </c:pt>
                <c:pt idx="13">
                  <c:v>65.578646384627518</c:v>
                </c:pt>
                <c:pt idx="14">
                  <c:v>52.609991305559838</c:v>
                </c:pt>
                <c:pt idx="15">
                  <c:v>56.344345750497467</c:v>
                </c:pt>
                <c:pt idx="16">
                  <c:v>59.281257503944609</c:v>
                </c:pt>
                <c:pt idx="17">
                  <c:v>54.777417124644046</c:v>
                </c:pt>
                <c:pt idx="18">
                  <c:v>52.139312359901446</c:v>
                </c:pt>
                <c:pt idx="19">
                  <c:v>54.756107677903856</c:v>
                </c:pt>
                <c:pt idx="20">
                  <c:v>63.717212687683585</c:v>
                </c:pt>
                <c:pt idx="21">
                  <c:v>53.637865233575369</c:v>
                </c:pt>
                <c:pt idx="22">
                  <c:v>60.510360099119524</c:v>
                </c:pt>
                <c:pt idx="23">
                  <c:v>56.8131193835776</c:v>
                </c:pt>
              </c:numCache>
            </c:numRef>
          </c:yVal>
          <c:smooth val="0"/>
        </c:ser>
        <c:dLbls>
          <c:showLegendKey val="0"/>
          <c:showVal val="0"/>
          <c:showCatName val="0"/>
          <c:showSerName val="0"/>
          <c:showPercent val="0"/>
          <c:showBubbleSize val="0"/>
        </c:dLbls>
        <c:axId val="285862912"/>
        <c:axId val="289932416"/>
      </c:scatterChart>
      <c:valAx>
        <c:axId val="285862912"/>
        <c:scaling>
          <c:orientation val="minMax"/>
          <c:max val="65"/>
          <c:min val="45"/>
        </c:scaling>
        <c:delete val="0"/>
        <c:axPos val="b"/>
        <c:title>
          <c:tx>
            <c:rich>
              <a:bodyPr/>
              <a:lstStyle/>
              <a:p>
                <a:pPr>
                  <a:defRPr sz="700"/>
                </a:pPr>
                <a:r>
                  <a:rPr lang="es-CO" sz="700"/>
                  <a:t>2011</a:t>
                </a:r>
              </a:p>
            </c:rich>
          </c:tx>
          <c:layout>
            <c:manualLayout>
              <c:xMode val="edge"/>
              <c:yMode val="edge"/>
              <c:x val="6.1694444444444482E-2"/>
              <c:y val="0.3979166666666672"/>
            </c:manualLayout>
          </c:layout>
          <c:overlay val="0"/>
        </c:title>
        <c:numFmt formatCode="General" sourceLinked="1"/>
        <c:majorTickMark val="out"/>
        <c:minorTickMark val="none"/>
        <c:tickLblPos val="nextTo"/>
        <c:crossAx val="289932416"/>
        <c:crossesAt val="58.036998700000012"/>
        <c:crossBetween val="midCat"/>
      </c:valAx>
      <c:valAx>
        <c:axId val="289932416"/>
        <c:scaling>
          <c:orientation val="minMax"/>
          <c:min val="40"/>
        </c:scaling>
        <c:delete val="0"/>
        <c:axPos val="l"/>
        <c:title>
          <c:tx>
            <c:rich>
              <a:bodyPr rot="-5400000" vert="horz"/>
              <a:lstStyle/>
              <a:p>
                <a:pPr>
                  <a:defRPr sz="700"/>
                </a:pPr>
                <a:r>
                  <a:rPr lang="es-CO" sz="700"/>
                  <a:t>2012</a:t>
                </a:r>
              </a:p>
            </c:rich>
          </c:tx>
          <c:layout>
            <c:manualLayout>
              <c:xMode val="edge"/>
              <c:yMode val="edge"/>
              <c:x val="0.59444444444444444"/>
              <c:y val="0.79712962962962963"/>
            </c:manualLayout>
          </c:layout>
          <c:overlay val="0"/>
        </c:title>
        <c:numFmt formatCode="General" sourceLinked="1"/>
        <c:majorTickMark val="out"/>
        <c:minorTickMark val="none"/>
        <c:tickLblPos val="nextTo"/>
        <c:crossAx val="285862912"/>
        <c:crossesAt val="56.959842199999997"/>
        <c:crossBetween val="midCat"/>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s-E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33E-2"/>
          <c:y val="5.1400554097404488E-2"/>
          <c:w val="0.71333180227471615"/>
          <c:h val="0.89719889180519141"/>
        </c:manualLayout>
      </c:layout>
      <c:barChart>
        <c:barDir val="col"/>
        <c:grouping val="clustered"/>
        <c:varyColors val="0"/>
        <c:ser>
          <c:idx val="0"/>
          <c:order val="0"/>
          <c:tx>
            <c:strRef>
              <c:f>Hoja1!$S$1</c:f>
              <c:strCache>
                <c:ptCount val="1"/>
                <c:pt idx="0">
                  <c:v>Efecto Demanda</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Hoja1!$S$42:$S$53</c:f>
              <c:numCache>
                <c:formatCode>#,##0</c:formatCode>
                <c:ptCount val="12"/>
                <c:pt idx="0">
                  <c:v>-8.51400000000001</c:v>
                </c:pt>
                <c:pt idx="1">
                  <c:v>20.418999999999983</c:v>
                </c:pt>
                <c:pt idx="2">
                  <c:v>17.240999999999982</c:v>
                </c:pt>
                <c:pt idx="3">
                  <c:v>7.5399999999999681</c:v>
                </c:pt>
                <c:pt idx="4">
                  <c:v>6.8040000000000855</c:v>
                </c:pt>
                <c:pt idx="5">
                  <c:v>23.825999999999894</c:v>
                </c:pt>
                <c:pt idx="6">
                  <c:v>-45.213999999999963</c:v>
                </c:pt>
                <c:pt idx="7">
                  <c:v>44.227000000000011</c:v>
                </c:pt>
                <c:pt idx="8">
                  <c:v>55.336999999999989</c:v>
                </c:pt>
                <c:pt idx="9">
                  <c:v>73.997000000000128</c:v>
                </c:pt>
                <c:pt idx="10" formatCode="#.##0000">
                  <c:v>33.534999999999968</c:v>
                </c:pt>
                <c:pt idx="11">
                  <c:v>8.6899999999999515</c:v>
                </c:pt>
              </c:numCache>
            </c:numRef>
          </c:val>
        </c:ser>
        <c:ser>
          <c:idx val="1"/>
          <c:order val="1"/>
          <c:tx>
            <c:strRef>
              <c:f>Hoja1!$T$1</c:f>
              <c:strCache>
                <c:ptCount val="1"/>
                <c:pt idx="0">
                  <c:v>Efecto Oferta</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Hoja1!$T$42:$T$53</c:f>
              <c:numCache>
                <c:formatCode>0,000</c:formatCode>
                <c:ptCount val="12"/>
                <c:pt idx="0">
                  <c:v>-29.064999999999969</c:v>
                </c:pt>
                <c:pt idx="1">
                  <c:v>10.915999999999974</c:v>
                </c:pt>
                <c:pt idx="2">
                  <c:v>18.316000000000091</c:v>
                </c:pt>
                <c:pt idx="3">
                  <c:v>13.860000000000021</c:v>
                </c:pt>
                <c:pt idx="4">
                  <c:v>15.032999999999976</c:v>
                </c:pt>
                <c:pt idx="5">
                  <c:v>32.673000000000002</c:v>
                </c:pt>
                <c:pt idx="6">
                  <c:v>-65.106000000000151</c:v>
                </c:pt>
                <c:pt idx="7">
                  <c:v>48.777000000000022</c:v>
                </c:pt>
                <c:pt idx="8">
                  <c:v>43.970000000000034</c:v>
                </c:pt>
                <c:pt idx="9">
                  <c:v>76.30000000000004</c:v>
                </c:pt>
                <c:pt idx="10">
                  <c:v>35.345999999999833</c:v>
                </c:pt>
                <c:pt idx="11">
                  <c:v>6.137000000000131</c:v>
                </c:pt>
              </c:numCache>
            </c:numRef>
          </c:val>
        </c:ser>
        <c:ser>
          <c:idx val="2"/>
          <c:order val="2"/>
          <c:tx>
            <c:strRef>
              <c:f>Hoja1!$U$1</c:f>
              <c:strCache>
                <c:ptCount val="1"/>
                <c:pt idx="0">
                  <c:v>Efecto Total</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Hoja1!$U$42:$U$53</c:f>
              <c:numCache>
                <c:formatCode>0,000</c:formatCode>
                <c:ptCount val="12"/>
                <c:pt idx="0">
                  <c:v>-20.550999999999959</c:v>
                </c:pt>
                <c:pt idx="1">
                  <c:v>-9.5030000000000197</c:v>
                </c:pt>
                <c:pt idx="2">
                  <c:v>1.0750000000000917</c:v>
                </c:pt>
                <c:pt idx="3">
                  <c:v>6.3200000000000465</c:v>
                </c:pt>
                <c:pt idx="4">
                  <c:v>8.228999999999882</c:v>
                </c:pt>
                <c:pt idx="5">
                  <c:v>8.8470000000000937</c:v>
                </c:pt>
                <c:pt idx="6">
                  <c:v>-19.892000000000209</c:v>
                </c:pt>
                <c:pt idx="7">
                  <c:v>4.5500000000000469</c:v>
                </c:pt>
                <c:pt idx="8">
                  <c:v>-11.366999999999969</c:v>
                </c:pt>
                <c:pt idx="9">
                  <c:v>2.3029999999999671</c:v>
                </c:pt>
                <c:pt idx="10">
                  <c:v>1.8109999999998641</c:v>
                </c:pt>
                <c:pt idx="11">
                  <c:v>-2.5529999999998063</c:v>
                </c:pt>
              </c:numCache>
            </c:numRef>
          </c:val>
        </c:ser>
        <c:dLbls>
          <c:showLegendKey val="0"/>
          <c:showVal val="0"/>
          <c:showCatName val="0"/>
          <c:showSerName val="0"/>
          <c:showPercent val="0"/>
          <c:showBubbleSize val="0"/>
        </c:dLbls>
        <c:gapWidth val="150"/>
        <c:axId val="290178944"/>
        <c:axId val="290180480"/>
      </c:barChart>
      <c:catAx>
        <c:axId val="290178944"/>
        <c:scaling>
          <c:orientation val="minMax"/>
        </c:scaling>
        <c:delete val="0"/>
        <c:axPos val="b"/>
        <c:numFmt formatCode="General" sourceLinked="1"/>
        <c:majorTickMark val="out"/>
        <c:minorTickMark val="none"/>
        <c:tickLblPos val="nextTo"/>
        <c:crossAx val="290180480"/>
        <c:crosses val="autoZero"/>
        <c:auto val="1"/>
        <c:lblAlgn val="ctr"/>
        <c:lblOffset val="100"/>
        <c:noMultiLvlLbl val="0"/>
      </c:catAx>
      <c:valAx>
        <c:axId val="290180480"/>
        <c:scaling>
          <c:orientation val="minMax"/>
        </c:scaling>
        <c:delete val="0"/>
        <c:axPos val="l"/>
        <c:majorGridlines/>
        <c:numFmt formatCode="#,##0" sourceLinked="1"/>
        <c:majorTickMark val="out"/>
        <c:minorTickMark val="none"/>
        <c:tickLblPos val="nextTo"/>
        <c:crossAx val="290178944"/>
        <c:crosses val="autoZero"/>
        <c:crossBetween val="between"/>
      </c:valAx>
    </c:plotArea>
    <c:legend>
      <c:legendPos val="r"/>
      <c:layout>
        <c:manualLayout>
          <c:xMode val="edge"/>
          <c:yMode val="edge"/>
          <c:x val="0.79940354330708652"/>
          <c:y val="0.1614610673665792"/>
          <c:w val="0.18392979002624682"/>
          <c:h val="0.46411453776611256"/>
        </c:manualLayou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35253174446803"/>
          <c:y val="4.6770924467774859E-2"/>
          <c:w val="0.67577331494452875"/>
          <c:h val="0.89719889180519141"/>
        </c:manualLayout>
      </c:layout>
      <c:barChart>
        <c:barDir val="col"/>
        <c:grouping val="clustered"/>
        <c:varyColors val="0"/>
        <c:ser>
          <c:idx val="0"/>
          <c:order val="0"/>
          <c:tx>
            <c:strRef>
              <c:f>Hoja1!$P$1</c:f>
              <c:strCache>
                <c:ptCount val="1"/>
                <c:pt idx="0">
                  <c:v>Efecto Participación</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Hoja1!$P$42:$P$53</c:f>
              <c:numCache>
                <c:formatCode>00,000,000</c:formatCode>
                <c:ptCount val="12"/>
                <c:pt idx="0">
                  <c:v>-38.600062396391579</c:v>
                </c:pt>
                <c:pt idx="1">
                  <c:v>1.1135250509818511</c:v>
                </c:pt>
                <c:pt idx="2">
                  <c:v>7.9335682918084496</c:v>
                </c:pt>
                <c:pt idx="3">
                  <c:v>2.9331754077052663</c:v>
                </c:pt>
                <c:pt idx="4">
                  <c:v>4.1177455739481701</c:v>
                </c:pt>
                <c:pt idx="5">
                  <c:v>20.774830396340636</c:v>
                </c:pt>
                <c:pt idx="6">
                  <c:v>-76.344726509181712</c:v>
                </c:pt>
                <c:pt idx="7">
                  <c:v>36.531204293617023</c:v>
                </c:pt>
                <c:pt idx="8">
                  <c:v>30.983490522661061</c:v>
                </c:pt>
                <c:pt idx="9">
                  <c:v>62.251136991794731</c:v>
                </c:pt>
                <c:pt idx="10">
                  <c:v>20.863676872103884</c:v>
                </c:pt>
                <c:pt idx="11">
                  <c:v>-8.2958822889046342</c:v>
                </c:pt>
              </c:numCache>
            </c:numRef>
          </c:val>
        </c:ser>
        <c:ser>
          <c:idx val="1"/>
          <c:order val="1"/>
          <c:tx>
            <c:strRef>
              <c:f>Hoja1!$Q$1</c:f>
              <c:strCache>
                <c:ptCount val="1"/>
                <c:pt idx="0">
                  <c:v>Efecto Demográfico</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Hoja1!$Q$42:$Q$53</c:f>
              <c:numCache>
                <c:formatCode>00,000,000</c:formatCode>
                <c:ptCount val="12"/>
                <c:pt idx="0">
                  <c:v>10.069493335401045</c:v>
                </c:pt>
                <c:pt idx="1">
                  <c:v>9.7868667783319907</c:v>
                </c:pt>
                <c:pt idx="2">
                  <c:v>10.26756161816915</c:v>
                </c:pt>
                <c:pt idx="3">
                  <c:v>10.882943174463465</c:v>
                </c:pt>
                <c:pt idx="4">
                  <c:v>10.854958601845578</c:v>
                </c:pt>
                <c:pt idx="5">
                  <c:v>11.580094110086721</c:v>
                </c:pt>
                <c:pt idx="6">
                  <c:v>12.44267050078969</c:v>
                </c:pt>
                <c:pt idx="7">
                  <c:v>11.657514753324422</c:v>
                </c:pt>
                <c:pt idx="8">
                  <c:v>12.48584795324795</c:v>
                </c:pt>
                <c:pt idx="9">
                  <c:v>13.053813965142616</c:v>
                </c:pt>
                <c:pt idx="10">
                  <c:v>14.151673814419302</c:v>
                </c:pt>
                <c:pt idx="11">
                  <c:v>14.563026241173636</c:v>
                </c:pt>
              </c:numCache>
            </c:numRef>
          </c:val>
        </c:ser>
        <c:ser>
          <c:idx val="2"/>
          <c:order val="2"/>
          <c:tx>
            <c:strRef>
              <c:f>Hoja1!$T$1</c:f>
              <c:strCache>
                <c:ptCount val="1"/>
                <c:pt idx="0">
                  <c:v>Efecto Oferta</c:v>
                </c:pt>
              </c:strCache>
            </c:strRef>
          </c:tx>
          <c:invertIfNegative val="0"/>
          <c:cat>
            <c:numRef>
              <c:f>Hoja1!$B$42:$B$53</c:f>
              <c:numCache>
                <c:formatCode>General</c:formatCod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numCache>
            </c:numRef>
          </c:cat>
          <c:val>
            <c:numRef>
              <c:f>Hoja1!$T$42:$T$53</c:f>
              <c:numCache>
                <c:formatCode>0,000</c:formatCode>
                <c:ptCount val="12"/>
                <c:pt idx="0">
                  <c:v>-29.064999999999969</c:v>
                </c:pt>
                <c:pt idx="1">
                  <c:v>10.915999999999974</c:v>
                </c:pt>
                <c:pt idx="2">
                  <c:v>18.316000000000091</c:v>
                </c:pt>
                <c:pt idx="3">
                  <c:v>13.860000000000021</c:v>
                </c:pt>
                <c:pt idx="4">
                  <c:v>15.032999999999976</c:v>
                </c:pt>
                <c:pt idx="5">
                  <c:v>32.673000000000002</c:v>
                </c:pt>
                <c:pt idx="6">
                  <c:v>-65.106000000000151</c:v>
                </c:pt>
                <c:pt idx="7">
                  <c:v>48.777000000000022</c:v>
                </c:pt>
                <c:pt idx="8">
                  <c:v>43.970000000000034</c:v>
                </c:pt>
                <c:pt idx="9">
                  <c:v>76.30000000000004</c:v>
                </c:pt>
                <c:pt idx="10">
                  <c:v>35.345999999999833</c:v>
                </c:pt>
                <c:pt idx="11">
                  <c:v>6.137000000000131</c:v>
                </c:pt>
              </c:numCache>
            </c:numRef>
          </c:val>
        </c:ser>
        <c:dLbls>
          <c:showLegendKey val="0"/>
          <c:showVal val="0"/>
          <c:showCatName val="0"/>
          <c:showSerName val="0"/>
          <c:showPercent val="0"/>
          <c:showBubbleSize val="0"/>
        </c:dLbls>
        <c:gapWidth val="150"/>
        <c:axId val="290276096"/>
        <c:axId val="290277632"/>
      </c:barChart>
      <c:catAx>
        <c:axId val="290276096"/>
        <c:scaling>
          <c:orientation val="minMax"/>
        </c:scaling>
        <c:delete val="0"/>
        <c:axPos val="b"/>
        <c:numFmt formatCode="General" sourceLinked="1"/>
        <c:majorTickMark val="out"/>
        <c:minorTickMark val="none"/>
        <c:tickLblPos val="nextTo"/>
        <c:crossAx val="290277632"/>
        <c:crosses val="autoZero"/>
        <c:auto val="1"/>
        <c:lblAlgn val="ctr"/>
        <c:lblOffset val="100"/>
        <c:noMultiLvlLbl val="0"/>
      </c:catAx>
      <c:valAx>
        <c:axId val="290277632"/>
        <c:scaling>
          <c:orientation val="minMax"/>
        </c:scaling>
        <c:delete val="0"/>
        <c:axPos val="l"/>
        <c:majorGridlines/>
        <c:numFmt formatCode="#,#00" sourceLinked="0"/>
        <c:majorTickMark val="out"/>
        <c:minorTickMark val="none"/>
        <c:tickLblPos val="nextTo"/>
        <c:crossAx val="290276096"/>
        <c:crosses val="autoZero"/>
        <c:crossBetween val="between"/>
      </c:valAx>
    </c:plotArea>
    <c:legend>
      <c:legendPos val="r"/>
      <c:layout>
        <c:manualLayout>
          <c:xMode val="edge"/>
          <c:yMode val="edge"/>
          <c:x val="0.79522244094488193"/>
          <c:y val="0.20312773403324585"/>
          <c:w val="0.18811089238845144"/>
          <c:h val="0.42244787109944659"/>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Hoja1!$M$346</c:f>
              <c:strCache>
                <c:ptCount val="1"/>
                <c:pt idx="0">
                  <c:v>Formal</c:v>
                </c:pt>
              </c:strCache>
            </c:strRef>
          </c:tx>
          <c:invertIfNegative val="0"/>
          <c:cat>
            <c:strRef>
              <c:f>Hoja1!$L$347:$L$355</c:f>
              <c:strCache>
                <c:ptCount val="9"/>
                <c:pt idx="0">
                  <c:v>Atlántico</c:v>
                </c:pt>
                <c:pt idx="1">
                  <c:v>Bolivar</c:v>
                </c:pt>
                <c:pt idx="2">
                  <c:v>Cesar</c:v>
                </c:pt>
                <c:pt idx="3">
                  <c:v>Córdoba</c:v>
                </c:pt>
                <c:pt idx="4">
                  <c:v>Guajira</c:v>
                </c:pt>
                <c:pt idx="5">
                  <c:v>Magdalena</c:v>
                </c:pt>
                <c:pt idx="6">
                  <c:v>Sucre</c:v>
                </c:pt>
                <c:pt idx="7">
                  <c:v>Región Caribe</c:v>
                </c:pt>
                <c:pt idx="8">
                  <c:v>Nacional</c:v>
                </c:pt>
              </c:strCache>
            </c:strRef>
          </c:cat>
          <c:val>
            <c:numRef>
              <c:f>Hoja1!$M$347:$M$355</c:f>
              <c:numCache>
                <c:formatCode>General</c:formatCode>
                <c:ptCount val="9"/>
                <c:pt idx="0">
                  <c:v>30.7</c:v>
                </c:pt>
                <c:pt idx="1">
                  <c:v>22.5</c:v>
                </c:pt>
                <c:pt idx="2">
                  <c:v>13</c:v>
                </c:pt>
                <c:pt idx="3">
                  <c:v>12.3</c:v>
                </c:pt>
                <c:pt idx="4">
                  <c:v>20</c:v>
                </c:pt>
                <c:pt idx="5">
                  <c:v>13.1</c:v>
                </c:pt>
                <c:pt idx="6">
                  <c:v>13.1</c:v>
                </c:pt>
                <c:pt idx="7">
                  <c:v>20.7</c:v>
                </c:pt>
                <c:pt idx="8">
                  <c:v>32.6</c:v>
                </c:pt>
              </c:numCache>
            </c:numRef>
          </c:val>
        </c:ser>
        <c:ser>
          <c:idx val="1"/>
          <c:order val="1"/>
          <c:tx>
            <c:strRef>
              <c:f>Hoja1!$N$346</c:f>
              <c:strCache>
                <c:ptCount val="1"/>
                <c:pt idx="0">
                  <c:v>Informal</c:v>
                </c:pt>
              </c:strCache>
            </c:strRef>
          </c:tx>
          <c:invertIfNegative val="0"/>
          <c:cat>
            <c:strRef>
              <c:f>Hoja1!$L$347:$L$355</c:f>
              <c:strCache>
                <c:ptCount val="9"/>
                <c:pt idx="0">
                  <c:v>Atlántico</c:v>
                </c:pt>
                <c:pt idx="1">
                  <c:v>Bolivar</c:v>
                </c:pt>
                <c:pt idx="2">
                  <c:v>Cesar</c:v>
                </c:pt>
                <c:pt idx="3">
                  <c:v>Córdoba</c:v>
                </c:pt>
                <c:pt idx="4">
                  <c:v>Guajira</c:v>
                </c:pt>
                <c:pt idx="5">
                  <c:v>Magdalena</c:v>
                </c:pt>
                <c:pt idx="6">
                  <c:v>Sucre</c:v>
                </c:pt>
                <c:pt idx="7">
                  <c:v>Región Caribe</c:v>
                </c:pt>
                <c:pt idx="8">
                  <c:v>Nacional</c:v>
                </c:pt>
              </c:strCache>
            </c:strRef>
          </c:cat>
          <c:val>
            <c:numRef>
              <c:f>Hoja1!$N$347:$N$355</c:f>
              <c:numCache>
                <c:formatCode>General</c:formatCode>
                <c:ptCount val="9"/>
                <c:pt idx="0">
                  <c:v>69.3</c:v>
                </c:pt>
                <c:pt idx="1">
                  <c:v>77.5</c:v>
                </c:pt>
                <c:pt idx="2">
                  <c:v>79.5</c:v>
                </c:pt>
                <c:pt idx="3">
                  <c:v>87</c:v>
                </c:pt>
                <c:pt idx="4">
                  <c:v>87.7</c:v>
                </c:pt>
                <c:pt idx="5">
                  <c:v>80</c:v>
                </c:pt>
                <c:pt idx="6">
                  <c:v>86.9</c:v>
                </c:pt>
                <c:pt idx="7">
                  <c:v>79.3</c:v>
                </c:pt>
                <c:pt idx="8">
                  <c:v>67.400000000000006</c:v>
                </c:pt>
              </c:numCache>
            </c:numRef>
          </c:val>
        </c:ser>
        <c:dLbls>
          <c:showLegendKey val="0"/>
          <c:showVal val="1"/>
          <c:showCatName val="0"/>
          <c:showSerName val="0"/>
          <c:showPercent val="0"/>
          <c:showBubbleSize val="0"/>
        </c:dLbls>
        <c:gapWidth val="150"/>
        <c:overlap val="-25"/>
        <c:axId val="290299904"/>
        <c:axId val="290301440"/>
      </c:barChart>
      <c:catAx>
        <c:axId val="290299904"/>
        <c:scaling>
          <c:orientation val="minMax"/>
        </c:scaling>
        <c:delete val="0"/>
        <c:axPos val="b"/>
        <c:majorTickMark val="none"/>
        <c:minorTickMark val="none"/>
        <c:tickLblPos val="nextTo"/>
        <c:crossAx val="290301440"/>
        <c:crosses val="autoZero"/>
        <c:auto val="1"/>
        <c:lblAlgn val="ctr"/>
        <c:lblOffset val="100"/>
        <c:noMultiLvlLbl val="0"/>
      </c:catAx>
      <c:valAx>
        <c:axId val="290301440"/>
        <c:scaling>
          <c:orientation val="minMax"/>
        </c:scaling>
        <c:delete val="1"/>
        <c:axPos val="l"/>
        <c:numFmt formatCode="General" sourceLinked="1"/>
        <c:majorTickMark val="out"/>
        <c:minorTickMark val="none"/>
        <c:tickLblPos val="none"/>
        <c:crossAx val="290299904"/>
        <c:crosses val="autoZero"/>
        <c:crossBetween val="between"/>
      </c:valAx>
    </c:plotArea>
    <c:legend>
      <c:legendPos val="t"/>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s-E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1"/>
              <c:layout>
                <c:manualLayout>
                  <c:x val="8.9569646462216754E-2"/>
                  <c:y val="4.3563493792202132E-3"/>
                </c:manualLayout>
              </c:layout>
              <c:showLegendKey val="0"/>
              <c:showVal val="0"/>
              <c:showCatName val="1"/>
              <c:showSerName val="0"/>
              <c:showPercent val="1"/>
              <c:showBubbleSize val="0"/>
            </c:dLbl>
            <c:dLbl>
              <c:idx val="3"/>
              <c:layout>
                <c:manualLayout>
                  <c:x val="8.9951829026464376E-3"/>
                  <c:y val="-6.1764191240800841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Hoja1!$M$398:$M$407</c:f>
              <c:strCache>
                <c:ptCount val="10"/>
                <c:pt idx="0">
                  <c:v>Agropecuario</c:v>
                </c:pt>
                <c:pt idx="1">
                  <c:v>Mineria</c:v>
                </c:pt>
                <c:pt idx="2">
                  <c:v>Industria</c:v>
                </c:pt>
                <c:pt idx="3">
                  <c:v>Servicios Públicos</c:v>
                </c:pt>
                <c:pt idx="4">
                  <c:v>Construcción</c:v>
                </c:pt>
                <c:pt idx="5">
                  <c:v>Comercio, hoteles </c:v>
                </c:pt>
                <c:pt idx="6">
                  <c:v>Transporte, almacenamiento y comunicaciones</c:v>
                </c:pt>
                <c:pt idx="7">
                  <c:v>Intermediación financiera</c:v>
                </c:pt>
                <c:pt idx="8">
                  <c:v>Actividades inmobiliarias </c:v>
                </c:pt>
                <c:pt idx="9">
                  <c:v>Servicios a empresas y personales</c:v>
                </c:pt>
              </c:strCache>
            </c:strRef>
          </c:cat>
          <c:val>
            <c:numRef>
              <c:f>Hoja1!$N$398:$N$407</c:f>
              <c:numCache>
                <c:formatCode>0.00%</c:formatCode>
                <c:ptCount val="10"/>
                <c:pt idx="0">
                  <c:v>7.0000000000000036E-3</c:v>
                </c:pt>
                <c:pt idx="1">
                  <c:v>1.4E-2</c:v>
                </c:pt>
                <c:pt idx="2">
                  <c:v>0.112</c:v>
                </c:pt>
                <c:pt idx="3">
                  <c:v>7.0000000000000036E-3</c:v>
                </c:pt>
                <c:pt idx="4">
                  <c:v>9.4000000000000028E-2</c:v>
                </c:pt>
                <c:pt idx="5">
                  <c:v>0.29800000000000026</c:v>
                </c:pt>
                <c:pt idx="6">
                  <c:v>0.1490000000000001</c:v>
                </c:pt>
                <c:pt idx="7">
                  <c:v>1.0999999999999998E-2</c:v>
                </c:pt>
                <c:pt idx="8">
                  <c:v>7.3000000000000009E-2</c:v>
                </c:pt>
                <c:pt idx="9">
                  <c:v>0.23300000000000001</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txPr>
    <a:bodyPr/>
    <a:lstStyle/>
    <a:p>
      <a:pPr>
        <a:defRPr sz="800">
          <a:latin typeface="Arial" panose="020B0604020202020204" pitchFamily="34" charset="0"/>
          <a:cs typeface="Arial" panose="020B0604020202020204" pitchFamily="34" charset="0"/>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077982567176671E-2"/>
          <c:y val="5.0925925925925923E-2"/>
          <c:w val="0.91437526034887273"/>
          <c:h val="0.81798070831131775"/>
        </c:manualLayout>
      </c:layout>
      <c:barChart>
        <c:barDir val="col"/>
        <c:grouping val="clustered"/>
        <c:varyColors val="0"/>
        <c:ser>
          <c:idx val="0"/>
          <c:order val="0"/>
          <c:tx>
            <c:strRef>
              <c:f>TEF!$A$4</c:f>
              <c:strCache>
                <c:ptCount val="1"/>
                <c:pt idx="0">
                  <c:v>Nacional</c:v>
                </c:pt>
              </c:strCache>
            </c:strRef>
          </c:tx>
          <c:spPr>
            <a:solidFill>
              <a:schemeClr val="accent1"/>
            </a:solidFill>
            <a:ln>
              <a:noFill/>
            </a:ln>
            <a:effectLst/>
          </c:spPr>
          <c:invertIfNegative val="0"/>
          <c:cat>
            <c:strRef>
              <c:f>TEF!$C$3:$I$3</c:f>
              <c:strCache>
                <c:ptCount val="7"/>
                <c:pt idx="0">
                  <c:v>15-19  </c:v>
                </c:pt>
                <c:pt idx="1">
                  <c:v>20-24 </c:v>
                </c:pt>
                <c:pt idx="2">
                  <c:v> 25-29  </c:v>
                </c:pt>
                <c:pt idx="3">
                  <c:v>30-34  </c:v>
                </c:pt>
                <c:pt idx="4">
                  <c:v>35-39  </c:v>
                </c:pt>
                <c:pt idx="5">
                  <c:v>40-44  </c:v>
                </c:pt>
                <c:pt idx="6">
                  <c:v>45-49 </c:v>
                </c:pt>
              </c:strCache>
            </c:strRef>
          </c:cat>
          <c:val>
            <c:numRef>
              <c:f>TEF!$C$4:$I$4</c:f>
              <c:numCache>
                <c:formatCode>General</c:formatCode>
                <c:ptCount val="7"/>
                <c:pt idx="0">
                  <c:v>7.4499999999999997E-2</c:v>
                </c:pt>
                <c:pt idx="1">
                  <c:v>0.1227</c:v>
                </c:pt>
                <c:pt idx="2">
                  <c:v>0.107</c:v>
                </c:pt>
                <c:pt idx="3">
                  <c:v>8.1100000000000005E-2</c:v>
                </c:pt>
                <c:pt idx="4">
                  <c:v>5.2299999999999999E-2</c:v>
                </c:pt>
                <c:pt idx="5">
                  <c:v>2.3900000000000001E-2</c:v>
                </c:pt>
                <c:pt idx="6">
                  <c:v>8.5000000000000006E-3</c:v>
                </c:pt>
              </c:numCache>
            </c:numRef>
          </c:val>
        </c:ser>
        <c:ser>
          <c:idx val="1"/>
          <c:order val="1"/>
          <c:tx>
            <c:strRef>
              <c:f>TEF!$A$9</c:f>
              <c:strCache>
                <c:ptCount val="1"/>
                <c:pt idx="0">
                  <c:v>Bolívar</c:v>
                </c:pt>
              </c:strCache>
            </c:strRef>
          </c:tx>
          <c:spPr>
            <a:solidFill>
              <a:schemeClr val="accent2"/>
            </a:solidFill>
            <a:ln>
              <a:noFill/>
            </a:ln>
            <a:effectLst/>
          </c:spPr>
          <c:invertIfNegative val="0"/>
          <c:cat>
            <c:strRef>
              <c:f>TEF!$C$3:$I$3</c:f>
              <c:strCache>
                <c:ptCount val="7"/>
                <c:pt idx="0">
                  <c:v>15-19  </c:v>
                </c:pt>
                <c:pt idx="1">
                  <c:v>20-24 </c:v>
                </c:pt>
                <c:pt idx="2">
                  <c:v> 25-29  </c:v>
                </c:pt>
                <c:pt idx="3">
                  <c:v>30-34  </c:v>
                </c:pt>
                <c:pt idx="4">
                  <c:v>35-39  </c:v>
                </c:pt>
                <c:pt idx="5">
                  <c:v>40-44  </c:v>
                </c:pt>
                <c:pt idx="6">
                  <c:v>45-49 </c:v>
                </c:pt>
              </c:strCache>
            </c:strRef>
          </c:cat>
          <c:val>
            <c:numRef>
              <c:f>TEF!$C$9:$I$9</c:f>
              <c:numCache>
                <c:formatCode>General</c:formatCode>
                <c:ptCount val="7"/>
                <c:pt idx="0">
                  <c:v>0.1018</c:v>
                </c:pt>
                <c:pt idx="1">
                  <c:v>0.15640000000000001</c:v>
                </c:pt>
                <c:pt idx="2">
                  <c:v>0.128</c:v>
                </c:pt>
                <c:pt idx="3">
                  <c:v>8.1600000000000006E-2</c:v>
                </c:pt>
                <c:pt idx="4">
                  <c:v>3.9899999999999998E-2</c:v>
                </c:pt>
                <c:pt idx="5">
                  <c:v>1.21E-2</c:v>
                </c:pt>
                <c:pt idx="6">
                  <c:v>1.8E-3</c:v>
                </c:pt>
              </c:numCache>
            </c:numRef>
          </c:val>
        </c:ser>
        <c:dLbls>
          <c:showLegendKey val="0"/>
          <c:showVal val="0"/>
          <c:showCatName val="0"/>
          <c:showSerName val="0"/>
          <c:showPercent val="0"/>
          <c:showBubbleSize val="0"/>
        </c:dLbls>
        <c:gapWidth val="150"/>
        <c:axId val="281893504"/>
        <c:axId val="281899392"/>
      </c:barChart>
      <c:catAx>
        <c:axId val="281893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281899392"/>
        <c:crosses val="autoZero"/>
        <c:auto val="1"/>
        <c:lblAlgn val="ctr"/>
        <c:lblOffset val="100"/>
        <c:noMultiLvlLbl val="0"/>
      </c:catAx>
      <c:valAx>
        <c:axId val="28189939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1893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'SNM dep'!$G$52</c:f>
              <c:strCache>
                <c:ptCount val="1"/>
                <c:pt idx="0">
                  <c:v>Nacional</c:v>
                </c:pt>
              </c:strCache>
            </c:strRef>
          </c:tx>
          <c:invertIfNegative val="0"/>
          <c:dLbls>
            <c:spPr>
              <a:noFill/>
              <a:ln>
                <a:noFill/>
              </a:ln>
              <a:effectLst/>
            </c:spPr>
            <c:txPr>
              <a:bodyPr rot="0" vert="horz"/>
              <a:lstStyle/>
              <a:p>
                <a:pPr>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'SNM dep'!$H$8:$K$8</c:f>
              <c:strCache>
                <c:ptCount val="4"/>
                <c:pt idx="0">
                  <c:v>1985-1990</c:v>
                </c:pt>
                <c:pt idx="1">
                  <c:v>1990-1995</c:v>
                </c:pt>
                <c:pt idx="2">
                  <c:v>1995-2000</c:v>
                </c:pt>
                <c:pt idx="3">
                  <c:v>2000-2005</c:v>
                </c:pt>
              </c:strCache>
            </c:strRef>
          </c:cat>
          <c:val>
            <c:numRef>
              <c:f>'SNM dep'!$H$52:$K$52</c:f>
              <c:numCache>
                <c:formatCode>#,##0</c:formatCode>
                <c:ptCount val="4"/>
                <c:pt idx="0">
                  <c:v>-245587</c:v>
                </c:pt>
                <c:pt idx="1">
                  <c:v>-268264</c:v>
                </c:pt>
                <c:pt idx="2">
                  <c:v>-703343</c:v>
                </c:pt>
                <c:pt idx="3">
                  <c:v>-661151</c:v>
                </c:pt>
              </c:numCache>
            </c:numRef>
          </c:val>
        </c:ser>
        <c:ser>
          <c:idx val="1"/>
          <c:order val="1"/>
          <c:tx>
            <c:strRef>
              <c:f>'SNM dep'!$AB$53</c:f>
              <c:strCache>
                <c:ptCount val="1"/>
                <c:pt idx="0">
                  <c:v>Bolívar</c:v>
                </c:pt>
              </c:strCache>
            </c:strRef>
          </c:tx>
          <c:invertIfNegative val="0"/>
          <c:dLbls>
            <c:spPr>
              <a:noFill/>
              <a:ln>
                <a:noFill/>
              </a:ln>
              <a:effectLst/>
            </c:spPr>
            <c:txPr>
              <a:bodyPr rot="0" vert="horz"/>
              <a:lstStyle/>
              <a:p>
                <a:pPr>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'SNM dep'!$H$8:$K$8</c:f>
              <c:strCache>
                <c:ptCount val="4"/>
                <c:pt idx="0">
                  <c:v>1985-1990</c:v>
                </c:pt>
                <c:pt idx="1">
                  <c:v>1990-1995</c:v>
                </c:pt>
                <c:pt idx="2">
                  <c:v>1995-2000</c:v>
                </c:pt>
                <c:pt idx="3">
                  <c:v>2000-2005</c:v>
                </c:pt>
              </c:strCache>
            </c:strRef>
          </c:cat>
          <c:val>
            <c:numRef>
              <c:f>'SNM dep'!$AC$53:$AF$53</c:f>
              <c:numCache>
                <c:formatCode>#,##0</c:formatCode>
                <c:ptCount val="4"/>
                <c:pt idx="0">
                  <c:v>-2168</c:v>
                </c:pt>
                <c:pt idx="1">
                  <c:v>-2802</c:v>
                </c:pt>
                <c:pt idx="2">
                  <c:v>-77569</c:v>
                </c:pt>
                <c:pt idx="3">
                  <c:v>-92099</c:v>
                </c:pt>
              </c:numCache>
            </c:numRef>
          </c:val>
        </c:ser>
        <c:dLbls>
          <c:dLblPos val="inEnd"/>
          <c:showLegendKey val="0"/>
          <c:showVal val="1"/>
          <c:showCatName val="0"/>
          <c:showSerName val="0"/>
          <c:showPercent val="0"/>
          <c:showBubbleSize val="0"/>
        </c:dLbls>
        <c:gapWidth val="100"/>
        <c:axId val="281916928"/>
        <c:axId val="281918464"/>
      </c:barChart>
      <c:catAx>
        <c:axId val="281916928"/>
        <c:scaling>
          <c:orientation val="minMax"/>
        </c:scaling>
        <c:delete val="0"/>
        <c:axPos val="l"/>
        <c:numFmt formatCode="General" sourceLinked="1"/>
        <c:majorTickMark val="out"/>
        <c:minorTickMark val="none"/>
        <c:tickLblPos val="high"/>
        <c:txPr>
          <a:bodyPr rot="-60000000" vert="horz"/>
          <a:lstStyle/>
          <a:p>
            <a:pPr>
              <a:defRPr/>
            </a:pPr>
            <a:endParaRPr lang="es-ES"/>
          </a:p>
        </c:txPr>
        <c:crossAx val="281918464"/>
        <c:crosses val="autoZero"/>
        <c:auto val="0"/>
        <c:lblAlgn val="ctr"/>
        <c:lblOffset val="100"/>
        <c:noMultiLvlLbl val="0"/>
      </c:catAx>
      <c:valAx>
        <c:axId val="281918464"/>
        <c:scaling>
          <c:orientation val="minMax"/>
        </c:scaling>
        <c:delete val="1"/>
        <c:axPos val="b"/>
        <c:majorGridlines/>
        <c:numFmt formatCode="#,##0" sourceLinked="1"/>
        <c:majorTickMark val="out"/>
        <c:minorTickMark val="none"/>
        <c:tickLblPos val="nextTo"/>
        <c:crossAx val="281916928"/>
        <c:crosses val="autoZero"/>
        <c:crossBetween val="between"/>
      </c:valAx>
    </c:plotArea>
    <c:legend>
      <c:legendPos val="b"/>
      <c:overlay val="0"/>
      <c:txPr>
        <a:bodyPr rot="0" vert="horz"/>
        <a:lstStyle/>
        <a:p>
          <a:pPr>
            <a:defRPr/>
          </a:pPr>
          <a:endParaRPr lang="es-E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numFmt formatCode="0.0%" sourceLinked="0"/>
            <c:spPr>
              <a:noFill/>
              <a:ln>
                <a:noFill/>
              </a:ln>
              <a:effectLst/>
            </c:spPr>
            <c:txPr>
              <a:bodyPr rot="5400000" vert="horz"/>
              <a:lstStyle/>
              <a:p>
                <a:pPr>
                  <a:defRPr sz="70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para grafica'!$M$71:$M$102</c:f>
              <c:strCache>
                <c:ptCount val="32"/>
                <c:pt idx="0">
                  <c:v>Bogota D,C </c:v>
                </c:pt>
                <c:pt idx="1">
                  <c:v>Antioquia</c:v>
                </c:pt>
                <c:pt idx="2">
                  <c:v>Valle del Cauca</c:v>
                </c:pt>
                <c:pt idx="3">
                  <c:v>santander</c:v>
                </c:pt>
                <c:pt idx="4">
                  <c:v>Cundinamarca</c:v>
                </c:pt>
                <c:pt idx="5">
                  <c:v>Meta</c:v>
                </c:pt>
                <c:pt idx="6">
                  <c:v>Atlántico</c:v>
                </c:pt>
                <c:pt idx="7">
                  <c:v>Bolivar</c:v>
                </c:pt>
                <c:pt idx="8">
                  <c:v>Boyacá</c:v>
                </c:pt>
                <c:pt idx="9">
                  <c:v>Tolima</c:v>
                </c:pt>
                <c:pt idx="10">
                  <c:v>Cesar</c:v>
                </c:pt>
                <c:pt idx="11">
                  <c:v>Huila</c:v>
                </c:pt>
                <c:pt idx="12">
                  <c:v>Córdoba</c:v>
                </c:pt>
                <c:pt idx="13">
                  <c:v>Casanare</c:v>
                </c:pt>
                <c:pt idx="14">
                  <c:v>Norte de Santander</c:v>
                </c:pt>
                <c:pt idx="15">
                  <c:v>Caldas</c:v>
                </c:pt>
                <c:pt idx="16">
                  <c:v>Risaralda</c:v>
                </c:pt>
                <c:pt idx="17">
                  <c:v>Nariño</c:v>
                </c:pt>
                <c:pt idx="18">
                  <c:v>Cauca</c:v>
                </c:pt>
                <c:pt idx="19">
                  <c:v>Magdalena</c:v>
                </c:pt>
                <c:pt idx="20">
                  <c:v>Arauca</c:v>
                </c:pt>
                <c:pt idx="21">
                  <c:v>Sucre</c:v>
                </c:pt>
                <c:pt idx="22">
                  <c:v>Quindio</c:v>
                </c:pt>
                <c:pt idx="23">
                  <c:v>Chocó</c:v>
                </c:pt>
                <c:pt idx="24">
                  <c:v>Putumayo</c:v>
                </c:pt>
                <c:pt idx="25">
                  <c:v>Caquetá</c:v>
                </c:pt>
                <c:pt idx="26">
                  <c:v>San Andres, Providencia y Santa Catalina</c:v>
                </c:pt>
                <c:pt idx="27">
                  <c:v>Guaviare</c:v>
                </c:pt>
                <c:pt idx="28">
                  <c:v>Vichada</c:v>
                </c:pt>
                <c:pt idx="29">
                  <c:v>Amazonas</c:v>
                </c:pt>
                <c:pt idx="30">
                  <c:v>Guainia</c:v>
                </c:pt>
                <c:pt idx="31">
                  <c:v>Vaupes</c:v>
                </c:pt>
              </c:strCache>
            </c:strRef>
          </c:cat>
          <c:val>
            <c:numRef>
              <c:f>'Base para grafica'!$N$71:$N$102</c:f>
              <c:numCache>
                <c:formatCode>0.00%</c:formatCode>
                <c:ptCount val="32"/>
                <c:pt idx="0" formatCode="0%">
                  <c:v>0.26</c:v>
                </c:pt>
                <c:pt idx="1">
                  <c:v>0.13500000000000001</c:v>
                </c:pt>
                <c:pt idx="2">
                  <c:v>0.10100000000000001</c:v>
                </c:pt>
                <c:pt idx="3">
                  <c:v>6.8000000000000005E-2</c:v>
                </c:pt>
                <c:pt idx="4">
                  <c:v>5.1999999999999998E-2</c:v>
                </c:pt>
                <c:pt idx="5">
                  <c:v>4.2999999999999997E-2</c:v>
                </c:pt>
                <c:pt idx="6">
                  <c:v>3.7999999999999999E-2</c:v>
                </c:pt>
                <c:pt idx="7">
                  <c:v>3.7999999999999999E-2</c:v>
                </c:pt>
                <c:pt idx="8">
                  <c:v>2.7E-2</c:v>
                </c:pt>
                <c:pt idx="9">
                  <c:v>2.1000000000000001E-2</c:v>
                </c:pt>
                <c:pt idx="10">
                  <c:v>0.02</c:v>
                </c:pt>
                <c:pt idx="11">
                  <c:v>1.7000000000000001E-2</c:v>
                </c:pt>
                <c:pt idx="12">
                  <c:v>1.7000000000000001E-2</c:v>
                </c:pt>
                <c:pt idx="13">
                  <c:v>1.7000000000000001E-2</c:v>
                </c:pt>
                <c:pt idx="14">
                  <c:v>1.7000000000000001E-2</c:v>
                </c:pt>
                <c:pt idx="15">
                  <c:v>1.6E-2</c:v>
                </c:pt>
                <c:pt idx="16">
                  <c:v>1.4999999999999999E-2</c:v>
                </c:pt>
                <c:pt idx="17">
                  <c:v>1.4999999999999999E-2</c:v>
                </c:pt>
                <c:pt idx="18">
                  <c:v>1.4E-2</c:v>
                </c:pt>
                <c:pt idx="19">
                  <c:v>1.4E-2</c:v>
                </c:pt>
                <c:pt idx="20">
                  <c:v>8.0000000000000002E-3</c:v>
                </c:pt>
                <c:pt idx="21">
                  <c:v>8.0000000000000002E-3</c:v>
                </c:pt>
                <c:pt idx="22">
                  <c:v>7.0000000000000001E-3</c:v>
                </c:pt>
                <c:pt idx="23">
                  <c:v>5.0000000000000001E-3</c:v>
                </c:pt>
                <c:pt idx="24">
                  <c:v>5.0000000000000001E-3</c:v>
                </c:pt>
                <c:pt idx="25">
                  <c:v>4.0000000000000001E-3</c:v>
                </c:pt>
                <c:pt idx="26">
                  <c:v>1E-3</c:v>
                </c:pt>
                <c:pt idx="27">
                  <c:v>1E-3</c:v>
                </c:pt>
                <c:pt idx="28">
                  <c:v>1E-3</c:v>
                </c:pt>
                <c:pt idx="29">
                  <c:v>1E-3</c:v>
                </c:pt>
                <c:pt idx="30">
                  <c:v>0</c:v>
                </c:pt>
                <c:pt idx="31">
                  <c:v>0</c:v>
                </c:pt>
              </c:numCache>
            </c:numRef>
          </c:val>
        </c:ser>
        <c:dLbls>
          <c:showLegendKey val="0"/>
          <c:showVal val="1"/>
          <c:showCatName val="0"/>
          <c:showSerName val="0"/>
          <c:showPercent val="0"/>
          <c:showBubbleSize val="0"/>
        </c:dLbls>
        <c:gapWidth val="150"/>
        <c:overlap val="-25"/>
        <c:axId val="281925888"/>
        <c:axId val="283780224"/>
      </c:barChart>
      <c:catAx>
        <c:axId val="281925888"/>
        <c:scaling>
          <c:orientation val="minMax"/>
        </c:scaling>
        <c:delete val="0"/>
        <c:axPos val="b"/>
        <c:numFmt formatCode="General" sourceLinked="0"/>
        <c:majorTickMark val="none"/>
        <c:minorTickMark val="none"/>
        <c:tickLblPos val="nextTo"/>
        <c:crossAx val="283780224"/>
        <c:crosses val="autoZero"/>
        <c:auto val="1"/>
        <c:lblAlgn val="ctr"/>
        <c:lblOffset val="100"/>
        <c:noMultiLvlLbl val="0"/>
      </c:catAx>
      <c:valAx>
        <c:axId val="283780224"/>
        <c:scaling>
          <c:orientation val="minMax"/>
        </c:scaling>
        <c:delete val="1"/>
        <c:axPos val="l"/>
        <c:numFmt formatCode="0%" sourceLinked="1"/>
        <c:majorTickMark val="out"/>
        <c:minorTickMark val="none"/>
        <c:tickLblPos val="nextTo"/>
        <c:crossAx val="281925888"/>
        <c:crosses val="autoZero"/>
        <c:crossBetween val="between"/>
      </c:valAx>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s-E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Grafica!$E$7</c:f>
              <c:strCache>
                <c:ptCount val="1"/>
                <c:pt idx="0">
                  <c:v>Agropecuario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Grafica!$E$8:$E$13</c:f>
              <c:numCache>
                <c:formatCode>#,##0.0</c:formatCode>
                <c:ptCount val="6"/>
                <c:pt idx="0">
                  <c:v>8.3389414325390518</c:v>
                </c:pt>
                <c:pt idx="1">
                  <c:v>8.213298558465489</c:v>
                </c:pt>
                <c:pt idx="2">
                  <c:v>6.88</c:v>
                </c:pt>
                <c:pt idx="3">
                  <c:v>6.0995752731003172</c:v>
                </c:pt>
                <c:pt idx="4">
                  <c:v>7.0289457966543454</c:v>
                </c:pt>
                <c:pt idx="5">
                  <c:v>6.4338893115379951</c:v>
                </c:pt>
              </c:numCache>
            </c:numRef>
          </c:val>
        </c:ser>
        <c:ser>
          <c:idx val="1"/>
          <c:order val="1"/>
          <c:tx>
            <c:strRef>
              <c:f>Grafica!$F$7</c:f>
              <c:strCache>
                <c:ptCount val="1"/>
                <c:pt idx="0">
                  <c:v>Mineria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Grafica!$F$8:$F$13</c:f>
              <c:numCache>
                <c:formatCode>#,##0.0</c:formatCode>
                <c:ptCount val="6"/>
                <c:pt idx="0">
                  <c:v>2.4690589327050305</c:v>
                </c:pt>
                <c:pt idx="1">
                  <c:v>2.7850568564822926</c:v>
                </c:pt>
                <c:pt idx="2">
                  <c:v>3.0577777777777775</c:v>
                </c:pt>
                <c:pt idx="3">
                  <c:v>2.9344707933904837</c:v>
                </c:pt>
                <c:pt idx="4">
                  <c:v>3.2805457061836427</c:v>
                </c:pt>
                <c:pt idx="5">
                  <c:v>4.2917651344341268</c:v>
                </c:pt>
              </c:numCache>
            </c:numRef>
          </c:val>
        </c:ser>
        <c:ser>
          <c:idx val="2"/>
          <c:order val="2"/>
          <c:tx>
            <c:strRef>
              <c:f>Grafica!$G$7</c:f>
              <c:strCache>
                <c:ptCount val="1"/>
                <c:pt idx="0">
                  <c:v>Industrias manufactureras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Grafica!$G$8:$G$13</c:f>
              <c:numCache>
                <c:formatCode>#,##0.0</c:formatCode>
                <c:ptCount val="6"/>
                <c:pt idx="0">
                  <c:v>28.788943898452796</c:v>
                </c:pt>
                <c:pt idx="1">
                  <c:v>34.28909568511844</c:v>
                </c:pt>
                <c:pt idx="2">
                  <c:v>30.373333333333335</c:v>
                </c:pt>
                <c:pt idx="3">
                  <c:v>29.556001541369987</c:v>
                </c:pt>
                <c:pt idx="4">
                  <c:v>25.645918503174936</c:v>
                </c:pt>
                <c:pt idx="5">
                  <c:v>25.967352888086143</c:v>
                </c:pt>
              </c:numCache>
            </c:numRef>
          </c:val>
        </c:ser>
        <c:ser>
          <c:idx val="3"/>
          <c:order val="3"/>
          <c:tx>
            <c:strRef>
              <c:f>Grafica!$H$7</c:f>
              <c:strCache>
                <c:ptCount val="1"/>
                <c:pt idx="0">
                  <c:v>Suministro de electricidad, gas y agua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Grafica!$H$8:$H$13</c:f>
              <c:numCache>
                <c:formatCode>#,##0.0</c:formatCode>
                <c:ptCount val="6"/>
                <c:pt idx="0">
                  <c:v>4.8721941197280136</c:v>
                </c:pt>
                <c:pt idx="1">
                  <c:v>4.2592117309771282</c:v>
                </c:pt>
                <c:pt idx="2">
                  <c:v>4.2133333333333338</c:v>
                </c:pt>
                <c:pt idx="3">
                  <c:v>3.7763844670648097</c:v>
                </c:pt>
                <c:pt idx="4">
                  <c:v>3.9106819820124499</c:v>
                </c:pt>
                <c:pt idx="5">
                  <c:v>3.533983926755587</c:v>
                </c:pt>
              </c:numCache>
            </c:numRef>
          </c:val>
        </c:ser>
        <c:ser>
          <c:idx val="4"/>
          <c:order val="4"/>
          <c:tx>
            <c:strRef>
              <c:f>Grafica!$I$7</c:f>
              <c:strCache>
                <c:ptCount val="1"/>
                <c:pt idx="0">
                  <c:v>Construcción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Grafica!$I$8:$I$13</c:f>
              <c:numCache>
                <c:formatCode>#,##0.0</c:formatCode>
                <c:ptCount val="6"/>
                <c:pt idx="0">
                  <c:v>4.2327557525576713</c:v>
                </c:pt>
                <c:pt idx="1">
                  <c:v>4.4014069556236413</c:v>
                </c:pt>
                <c:pt idx="2">
                  <c:v>4.5244444444444438</c:v>
                </c:pt>
                <c:pt idx="3">
                  <c:v>7.5493614408520218</c:v>
                </c:pt>
                <c:pt idx="4">
                  <c:v>9.1969312441653628</c:v>
                </c:pt>
                <c:pt idx="5">
                  <c:v>8.5659681895235771</c:v>
                </c:pt>
              </c:numCache>
            </c:numRef>
          </c:val>
        </c:ser>
        <c:ser>
          <c:idx val="5"/>
          <c:order val="5"/>
          <c:tx>
            <c:strRef>
              <c:f>Grafica!$J$7</c:f>
              <c:strCache>
                <c:ptCount val="1"/>
                <c:pt idx="0">
                  <c:v>Comercio, reparación, restaurantes y hoteles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Grafica!$J$8:$J$13</c:f>
              <c:numCache>
                <c:formatCode>#,##0.0</c:formatCode>
                <c:ptCount val="6"/>
                <c:pt idx="0">
                  <c:v>13.034329232595883</c:v>
                </c:pt>
                <c:pt idx="1">
                  <c:v>11.766804182318108</c:v>
                </c:pt>
                <c:pt idx="2">
                  <c:v>11.155555555555557</c:v>
                </c:pt>
                <c:pt idx="3">
                  <c:v>11.038916260702358</c:v>
                </c:pt>
                <c:pt idx="4">
                  <c:v>11.377874426393436</c:v>
                </c:pt>
                <c:pt idx="5">
                  <c:v>11.192444818459018</c:v>
                </c:pt>
              </c:numCache>
            </c:numRef>
          </c:val>
        </c:ser>
        <c:ser>
          <c:idx val="6"/>
          <c:order val="6"/>
          <c:tx>
            <c:strRef>
              <c:f>Grafica!$K$7</c:f>
              <c:strCache>
                <c:ptCount val="1"/>
                <c:pt idx="0">
                  <c:v>Transporte, almacenamiento y comunicaciones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Grafica!$K$8:$K$13</c:f>
              <c:numCache>
                <c:formatCode>#,##0.0</c:formatCode>
                <c:ptCount val="6"/>
                <c:pt idx="0">
                  <c:v>7.0677609420638383</c:v>
                </c:pt>
                <c:pt idx="1">
                  <c:v>6.7944743953348246</c:v>
                </c:pt>
                <c:pt idx="2">
                  <c:v>8.8355555555555565</c:v>
                </c:pt>
                <c:pt idx="3">
                  <c:v>9.5408509308937379</c:v>
                </c:pt>
                <c:pt idx="4">
                  <c:v>9.4022942287410824</c:v>
                </c:pt>
                <c:pt idx="5">
                  <c:v>9.4833704104945937</c:v>
                </c:pt>
              </c:numCache>
            </c:numRef>
          </c:val>
        </c:ser>
        <c:ser>
          <c:idx val="7"/>
          <c:order val="7"/>
          <c:tx>
            <c:strRef>
              <c:f>Grafica!$L$7</c:f>
              <c:strCache>
                <c:ptCount val="1"/>
                <c:pt idx="0">
                  <c:v>Financiero, act. inmobiliarias y serv. a las empresas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Grafica!$L$8:$L$13</c:f>
              <c:numCache>
                <c:formatCode>#,##0.0</c:formatCode>
                <c:ptCount val="6"/>
                <c:pt idx="0">
                  <c:v>12.985963513699369</c:v>
                </c:pt>
                <c:pt idx="1">
                  <c:v>11.959107349146061</c:v>
                </c:pt>
                <c:pt idx="2">
                  <c:v>13.466666666666665</c:v>
                </c:pt>
                <c:pt idx="3">
                  <c:v>14.037061002726359</c:v>
                </c:pt>
                <c:pt idx="4">
                  <c:v>14.732604762269801</c:v>
                </c:pt>
                <c:pt idx="5">
                  <c:v>14.72088933340601</c:v>
                </c:pt>
              </c:numCache>
            </c:numRef>
          </c:val>
        </c:ser>
        <c:ser>
          <c:idx val="8"/>
          <c:order val="8"/>
          <c:tx>
            <c:strRef>
              <c:f>Grafica!$M$7</c:f>
              <c:strCache>
                <c:ptCount val="1"/>
                <c:pt idx="0">
                  <c:v>Admin. Pública, eduación, salud y regreación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Grafica!$B$8:$B$13</c:f>
              <c:strCache>
                <c:ptCount val="6"/>
                <c:pt idx="0">
                  <c:v>2001</c:v>
                </c:pt>
                <c:pt idx="1">
                  <c:v>2003</c:v>
                </c:pt>
                <c:pt idx="2">
                  <c:v>2005</c:v>
                </c:pt>
                <c:pt idx="3">
                  <c:v>2007</c:v>
                </c:pt>
                <c:pt idx="4">
                  <c:v>2009</c:v>
                </c:pt>
                <c:pt idx="5">
                  <c:v>2011pr</c:v>
                </c:pt>
              </c:strCache>
            </c:strRef>
          </c:cat>
          <c:val>
            <c:numRef>
              <c:f>Grafica!$M$8:$M$13</c:f>
              <c:numCache>
                <c:formatCode>#,##0.0</c:formatCode>
                <c:ptCount val="6"/>
                <c:pt idx="0">
                  <c:v>17.437520525247329</c:v>
                </c:pt>
                <c:pt idx="1">
                  <c:v>15.722803175189876</c:v>
                </c:pt>
                <c:pt idx="2">
                  <c:v>17.493333333333332</c:v>
                </c:pt>
                <c:pt idx="3">
                  <c:v>15.454709825187898</c:v>
                </c:pt>
                <c:pt idx="4">
                  <c:v>15.602663460534586</c:v>
                </c:pt>
                <c:pt idx="5">
                  <c:v>15.818315480234729</c:v>
                </c:pt>
              </c:numCache>
            </c:numRef>
          </c:val>
        </c:ser>
        <c:dLbls>
          <c:showLegendKey val="0"/>
          <c:showVal val="0"/>
          <c:showCatName val="0"/>
          <c:showSerName val="0"/>
          <c:showPercent val="0"/>
          <c:showBubbleSize val="0"/>
        </c:dLbls>
        <c:gapWidth val="75"/>
        <c:gapDepth val="75"/>
        <c:shape val="box"/>
        <c:axId val="283822720"/>
        <c:axId val="283902720"/>
        <c:axId val="0"/>
      </c:bar3DChart>
      <c:catAx>
        <c:axId val="283822720"/>
        <c:scaling>
          <c:orientation val="minMax"/>
        </c:scaling>
        <c:delete val="0"/>
        <c:axPos val="b"/>
        <c:title>
          <c:tx>
            <c:rich>
              <a:bodyPr/>
              <a:lstStyle/>
              <a:p>
                <a:pPr>
                  <a:defRPr/>
                </a:pPr>
                <a:r>
                  <a:rPr lang="es-CO"/>
                  <a:t>Año</a:t>
                </a:r>
              </a:p>
            </c:rich>
          </c:tx>
          <c:overlay val="0"/>
        </c:title>
        <c:numFmt formatCode="General" sourceLinked="0"/>
        <c:majorTickMark val="none"/>
        <c:minorTickMark val="none"/>
        <c:tickLblPos val="nextTo"/>
        <c:crossAx val="283902720"/>
        <c:crosses val="autoZero"/>
        <c:auto val="1"/>
        <c:lblAlgn val="ctr"/>
        <c:lblOffset val="100"/>
        <c:noMultiLvlLbl val="0"/>
      </c:catAx>
      <c:valAx>
        <c:axId val="283902720"/>
        <c:scaling>
          <c:orientation val="minMax"/>
          <c:max val="100"/>
        </c:scaling>
        <c:delete val="0"/>
        <c:axPos val="l"/>
        <c:majorGridlines/>
        <c:minorGridlines/>
        <c:title>
          <c:tx>
            <c:rich>
              <a:bodyPr/>
              <a:lstStyle/>
              <a:p>
                <a:pPr>
                  <a:defRPr/>
                </a:pPr>
                <a:r>
                  <a:rPr lang="es-CO"/>
                  <a:t>Participación respecto al Total del Valor Agregado</a:t>
                </a:r>
              </a:p>
            </c:rich>
          </c:tx>
          <c:overlay val="0"/>
        </c:title>
        <c:numFmt formatCode="#,##0.0" sourceLinked="1"/>
        <c:majorTickMark val="out"/>
        <c:minorTickMark val="none"/>
        <c:tickLblPos val="nextTo"/>
        <c:crossAx val="283822720"/>
        <c:crosses val="autoZero"/>
        <c:crossBetween val="between"/>
        <c:majorUnit val="20"/>
        <c:minorUnit val="20"/>
      </c:valAx>
    </c:plotArea>
    <c:legend>
      <c:legendPos val="r"/>
      <c:overlay val="0"/>
    </c:legend>
    <c:plotVisOnly val="1"/>
    <c:dispBlanksAs val="gap"/>
    <c:showDLblsOverMax val="0"/>
  </c:chart>
  <c:spPr>
    <a:ln>
      <a:noFill/>
    </a:ln>
  </c:spPr>
  <c:txPr>
    <a:bodyPr/>
    <a:lstStyle/>
    <a:p>
      <a:pPr>
        <a:defRPr sz="700">
          <a:latin typeface="Arial" pitchFamily="34" charset="0"/>
          <a:cs typeface="Arial" pitchFamily="34" charset="0"/>
        </a:defRPr>
      </a:pPr>
      <a:endParaRPr lang="es-E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75">
              <a:noFill/>
            </a:ln>
          </c:spPr>
          <c:dPt>
            <c:idx val="3"/>
            <c:marker>
              <c:symbol val="diamond"/>
              <c:size val="15"/>
              <c:spPr>
                <a:solidFill>
                  <a:srgbClr val="FF0000"/>
                </a:solidFill>
              </c:spPr>
            </c:marker>
            <c:bubble3D val="0"/>
          </c:dPt>
          <c:dPt>
            <c:idx val="15"/>
            <c:marker>
              <c:symbol val="diamond"/>
              <c:size val="7"/>
              <c:spPr>
                <a:solidFill>
                  <a:srgbClr val="4F81BD"/>
                </a:solidFill>
              </c:spPr>
            </c:marker>
            <c:bubble3D val="0"/>
          </c:dPt>
          <c:dPt>
            <c:idx val="25"/>
            <c:marker>
              <c:symbol val="diamond"/>
              <c:size val="7"/>
              <c:spPr>
                <a:solidFill>
                  <a:schemeClr val="accent1"/>
                </a:solidFill>
              </c:spPr>
            </c:marker>
            <c:bubble3D val="0"/>
          </c:dPt>
          <c:dLbls>
            <c:dLbl>
              <c:idx val="0"/>
              <c:layout>
                <c:manualLayout>
                  <c:x val="-4.1125534116383047E-2"/>
                  <c:y val="-2.8398996509159571E-2"/>
                </c:manualLayout>
              </c:layout>
              <c:tx>
                <c:rich>
                  <a:bodyPr/>
                  <a:lstStyle/>
                  <a:p>
                    <a:r>
                      <a:rPr lang="en-US"/>
                      <a:t>ANT</a:t>
                    </a:r>
                  </a:p>
                </c:rich>
              </c:tx>
              <c:showLegendKey val="0"/>
              <c:showVal val="0"/>
              <c:showCatName val="1"/>
              <c:showSerName val="0"/>
              <c:showPercent val="0"/>
              <c:showBubbleSize val="0"/>
              <c:extLst>
                <c:ext xmlns:c15="http://schemas.microsoft.com/office/drawing/2012/chart" uri="{CE6537A1-D6FC-4f65-9D91-7224C49458BB}"/>
              </c:extLst>
            </c:dLbl>
            <c:dLbl>
              <c:idx val="1"/>
              <c:tx>
                <c:rich>
                  <a:bodyPr/>
                  <a:lstStyle/>
                  <a:p>
                    <a:r>
                      <a:rPr lang="en-US"/>
                      <a:t>ARAU</a:t>
                    </a:r>
                  </a:p>
                </c:rich>
              </c:tx>
              <c:showLegendKey val="0"/>
              <c:showVal val="0"/>
              <c:showCatName val="1"/>
              <c:showSerName val="0"/>
              <c:showPercent val="0"/>
              <c:showBubbleSize val="0"/>
              <c:extLst>
                <c:ext xmlns:c15="http://schemas.microsoft.com/office/drawing/2012/chart" uri="{CE6537A1-D6FC-4f65-9D91-7224C49458BB}"/>
              </c:extLst>
            </c:dLbl>
            <c:dLbl>
              <c:idx val="2"/>
              <c:tx>
                <c:rich>
                  <a:bodyPr/>
                  <a:lstStyle/>
                  <a:p>
                    <a:r>
                      <a:rPr lang="en-US"/>
                      <a:t>ATL</a:t>
                    </a:r>
                  </a:p>
                </c:rich>
              </c:tx>
              <c:showLegendKey val="0"/>
              <c:showVal val="0"/>
              <c:showCatName val="1"/>
              <c:showSerName val="0"/>
              <c:showPercent val="0"/>
              <c:showBubbleSize val="0"/>
              <c:extLst>
                <c:ext xmlns:c15="http://schemas.microsoft.com/office/drawing/2012/chart" uri="{CE6537A1-D6FC-4f65-9D91-7224C49458BB}"/>
              </c:extLst>
            </c:dLbl>
            <c:dLbl>
              <c:idx val="3"/>
              <c:tx>
                <c:rich>
                  <a:bodyPr/>
                  <a:lstStyle/>
                  <a:p>
                    <a:r>
                      <a:rPr lang="en-US"/>
                      <a:t>BOL</a:t>
                    </a:r>
                  </a:p>
                </c:rich>
              </c:tx>
              <c:showLegendKey val="0"/>
              <c:showVal val="0"/>
              <c:showCatName val="1"/>
              <c:showSerName val="0"/>
              <c:showPercent val="0"/>
              <c:showBubbleSize val="0"/>
              <c:extLst>
                <c:ext xmlns:c15="http://schemas.microsoft.com/office/drawing/2012/chart" uri="{CE6537A1-D6FC-4f65-9D91-7224C49458BB}"/>
              </c:extLst>
            </c:dLbl>
            <c:dLbl>
              <c:idx val="4"/>
              <c:tx>
                <c:rich>
                  <a:bodyPr/>
                  <a:lstStyle/>
                  <a:p>
                    <a:r>
                      <a:rPr lang="en-US"/>
                      <a:t>BOY</a:t>
                    </a:r>
                  </a:p>
                </c:rich>
              </c:tx>
              <c:showLegendKey val="0"/>
              <c:showVal val="0"/>
              <c:showCatName val="1"/>
              <c:showSerName val="0"/>
              <c:showPercent val="0"/>
              <c:showBubbleSize val="0"/>
              <c:extLst>
                <c:ext xmlns:c15="http://schemas.microsoft.com/office/drawing/2012/chart" uri="{CE6537A1-D6FC-4f65-9D91-7224C49458BB}"/>
              </c:extLst>
            </c:dLbl>
            <c:dLbl>
              <c:idx val="5"/>
              <c:tx>
                <c:rich>
                  <a:bodyPr/>
                  <a:lstStyle/>
                  <a:p>
                    <a:r>
                      <a:rPr lang="en-US"/>
                      <a:t>CAL</a:t>
                    </a:r>
                  </a:p>
                </c:rich>
              </c:tx>
              <c:showLegendKey val="0"/>
              <c:showVal val="0"/>
              <c:showCatName val="1"/>
              <c:showSerName val="0"/>
              <c:showPercent val="0"/>
              <c:showBubbleSize val="0"/>
              <c:extLst>
                <c:ext xmlns:c15="http://schemas.microsoft.com/office/drawing/2012/chart" uri="{CE6537A1-D6FC-4f65-9D91-7224C49458BB}"/>
              </c:extLst>
            </c:dLbl>
            <c:dLbl>
              <c:idx val="6"/>
              <c:tx>
                <c:rich>
                  <a:bodyPr/>
                  <a:lstStyle/>
                  <a:p>
                    <a:r>
                      <a:rPr lang="en-US"/>
                      <a:t>CAQ</a:t>
                    </a:r>
                  </a:p>
                </c:rich>
              </c:tx>
              <c:showLegendKey val="0"/>
              <c:showVal val="0"/>
              <c:showCatName val="1"/>
              <c:showSerName val="0"/>
              <c:showPercent val="0"/>
              <c:showBubbleSize val="0"/>
              <c:extLst>
                <c:ext xmlns:c15="http://schemas.microsoft.com/office/drawing/2012/chart" uri="{CE6537A1-D6FC-4f65-9D91-7224C49458BB}"/>
              </c:extLst>
            </c:dLbl>
            <c:dLbl>
              <c:idx val="7"/>
              <c:tx>
                <c:rich>
                  <a:bodyPr/>
                  <a:lstStyle/>
                  <a:p>
                    <a:r>
                      <a:rPr lang="en-US"/>
                      <a:t>CAS</a:t>
                    </a:r>
                  </a:p>
                </c:rich>
              </c:tx>
              <c:showLegendKey val="0"/>
              <c:showVal val="0"/>
              <c:showCatName val="1"/>
              <c:showSerName val="0"/>
              <c:showPercent val="0"/>
              <c:showBubbleSize val="0"/>
              <c:extLst>
                <c:ext xmlns:c15="http://schemas.microsoft.com/office/drawing/2012/chart" uri="{CE6537A1-D6FC-4f65-9D91-7224C49458BB}"/>
              </c:extLst>
            </c:dLbl>
            <c:dLbl>
              <c:idx val="8"/>
              <c:tx>
                <c:rich>
                  <a:bodyPr/>
                  <a:lstStyle/>
                  <a:p>
                    <a:r>
                      <a:rPr lang="en-US"/>
                      <a:t>CAU</a:t>
                    </a:r>
                  </a:p>
                </c:rich>
              </c:tx>
              <c:showLegendKey val="0"/>
              <c:showVal val="0"/>
              <c:showCatName val="1"/>
              <c:showSerName val="0"/>
              <c:showPercent val="0"/>
              <c:showBubbleSize val="0"/>
              <c:extLst>
                <c:ext xmlns:c15="http://schemas.microsoft.com/office/drawing/2012/chart" uri="{CE6537A1-D6FC-4f65-9D91-7224C49458BB}"/>
              </c:extLst>
            </c:dLbl>
            <c:dLbl>
              <c:idx val="9"/>
              <c:tx>
                <c:rich>
                  <a:bodyPr/>
                  <a:lstStyle/>
                  <a:p>
                    <a:r>
                      <a:rPr lang="en-US"/>
                      <a:t>CES</a:t>
                    </a:r>
                  </a:p>
                </c:rich>
              </c:tx>
              <c:showLegendKey val="0"/>
              <c:showVal val="0"/>
              <c:showCatName val="1"/>
              <c:showSerName val="0"/>
              <c:showPercent val="0"/>
              <c:showBubbleSize val="0"/>
              <c:extLst>
                <c:ext xmlns:c15="http://schemas.microsoft.com/office/drawing/2012/chart" uri="{CE6537A1-D6FC-4f65-9D91-7224C49458BB}"/>
              </c:extLst>
            </c:dLbl>
            <c:dLbl>
              <c:idx val="10"/>
              <c:tx>
                <c:rich>
                  <a:bodyPr/>
                  <a:lstStyle/>
                  <a:p>
                    <a:r>
                      <a:rPr lang="en-US"/>
                      <a:t>CHO</a:t>
                    </a:r>
                  </a:p>
                </c:rich>
              </c:tx>
              <c:showLegendKey val="0"/>
              <c:showVal val="0"/>
              <c:showCatName val="1"/>
              <c:showSerName val="0"/>
              <c:showPercent val="0"/>
              <c:showBubbleSize val="0"/>
              <c:extLst>
                <c:ext xmlns:c15="http://schemas.microsoft.com/office/drawing/2012/chart" uri="{CE6537A1-D6FC-4f65-9D91-7224C49458BB}"/>
              </c:extLst>
            </c:dLbl>
            <c:dLbl>
              <c:idx val="11"/>
              <c:tx>
                <c:rich>
                  <a:bodyPr/>
                  <a:lstStyle/>
                  <a:p>
                    <a:r>
                      <a:rPr lang="en-US"/>
                      <a:t>COR</a:t>
                    </a:r>
                  </a:p>
                </c:rich>
              </c:tx>
              <c:showLegendKey val="0"/>
              <c:showVal val="0"/>
              <c:showCatName val="1"/>
              <c:showSerName val="0"/>
              <c:showPercent val="0"/>
              <c:showBubbleSize val="0"/>
              <c:extLst>
                <c:ext xmlns:c15="http://schemas.microsoft.com/office/drawing/2012/chart" uri="{CE6537A1-D6FC-4f65-9D91-7224C49458BB}"/>
              </c:extLst>
            </c:dLbl>
            <c:dLbl>
              <c:idx val="12"/>
              <c:tx>
                <c:rich>
                  <a:bodyPr/>
                  <a:lstStyle/>
                  <a:p>
                    <a:r>
                      <a:rPr lang="en-US"/>
                      <a:t>CUN</a:t>
                    </a:r>
                  </a:p>
                </c:rich>
              </c:tx>
              <c:showLegendKey val="0"/>
              <c:showVal val="0"/>
              <c:showCatName val="1"/>
              <c:showSerName val="0"/>
              <c:showPercent val="0"/>
              <c:showBubbleSize val="0"/>
              <c:extLst>
                <c:ext xmlns:c15="http://schemas.microsoft.com/office/drawing/2012/chart" uri="{CE6537A1-D6FC-4f65-9D91-7224C49458BB}"/>
              </c:extLst>
            </c:dLbl>
            <c:dLbl>
              <c:idx val="13"/>
              <c:tx>
                <c:rich>
                  <a:bodyPr/>
                  <a:lstStyle/>
                  <a:p>
                    <a:r>
                      <a:rPr lang="en-US"/>
                      <a:t>GUAJ</a:t>
                    </a:r>
                  </a:p>
                </c:rich>
              </c:tx>
              <c:showLegendKey val="0"/>
              <c:showVal val="0"/>
              <c:showCatName val="1"/>
              <c:showSerName val="0"/>
              <c:showPercent val="0"/>
              <c:showBubbleSize val="0"/>
              <c:extLst>
                <c:ext xmlns:c15="http://schemas.microsoft.com/office/drawing/2012/chart" uri="{CE6537A1-D6FC-4f65-9D91-7224C49458BB}"/>
              </c:extLst>
            </c:dLbl>
            <c:dLbl>
              <c:idx val="14"/>
              <c:tx>
                <c:rich>
                  <a:bodyPr/>
                  <a:lstStyle/>
                  <a:p>
                    <a:r>
                      <a:rPr lang="en-US"/>
                      <a:t>HUI</a:t>
                    </a:r>
                  </a:p>
                </c:rich>
              </c:tx>
              <c:showLegendKey val="0"/>
              <c:showVal val="0"/>
              <c:showCatName val="1"/>
              <c:showSerName val="0"/>
              <c:showPercent val="0"/>
              <c:showBubbleSize val="0"/>
              <c:extLst>
                <c:ext xmlns:c15="http://schemas.microsoft.com/office/drawing/2012/chart" uri="{CE6537A1-D6FC-4f65-9D91-7224C49458BB}"/>
              </c:extLst>
            </c:dLbl>
            <c:dLbl>
              <c:idx val="15"/>
              <c:tx>
                <c:rich>
                  <a:bodyPr/>
                  <a:lstStyle/>
                  <a:p>
                    <a:r>
                      <a:rPr lang="en-US"/>
                      <a:t>MAG</a:t>
                    </a:r>
                  </a:p>
                </c:rich>
              </c:tx>
              <c:showLegendKey val="0"/>
              <c:showVal val="0"/>
              <c:showCatName val="1"/>
              <c:showSerName val="0"/>
              <c:showPercent val="0"/>
              <c:showBubbleSize val="0"/>
              <c:extLst>
                <c:ext xmlns:c15="http://schemas.microsoft.com/office/drawing/2012/chart" uri="{CE6537A1-D6FC-4f65-9D91-7224C49458BB}"/>
              </c:extLst>
            </c:dLbl>
            <c:dLbl>
              <c:idx val="16"/>
              <c:tx>
                <c:rich>
                  <a:bodyPr/>
                  <a:lstStyle/>
                  <a:p>
                    <a:r>
                      <a:rPr lang="en-US"/>
                      <a:t>MET</a:t>
                    </a:r>
                  </a:p>
                </c:rich>
              </c:tx>
              <c:showLegendKey val="0"/>
              <c:showVal val="0"/>
              <c:showCatName val="1"/>
              <c:showSerName val="0"/>
              <c:showPercent val="0"/>
              <c:showBubbleSize val="0"/>
              <c:extLst>
                <c:ext xmlns:c15="http://schemas.microsoft.com/office/drawing/2012/chart" uri="{CE6537A1-D6FC-4f65-9D91-7224C49458BB}"/>
              </c:extLst>
            </c:dLbl>
            <c:dLbl>
              <c:idx val="17"/>
              <c:tx>
                <c:rich>
                  <a:bodyPr/>
                  <a:lstStyle/>
                  <a:p>
                    <a:r>
                      <a:rPr lang="en-US"/>
                      <a:t>NAR</a:t>
                    </a:r>
                  </a:p>
                </c:rich>
              </c:tx>
              <c:showLegendKey val="0"/>
              <c:showVal val="0"/>
              <c:showCatName val="1"/>
              <c:showSerName val="0"/>
              <c:showPercent val="0"/>
              <c:showBubbleSize val="0"/>
              <c:extLst>
                <c:ext xmlns:c15="http://schemas.microsoft.com/office/drawing/2012/chart" uri="{CE6537A1-D6FC-4f65-9D91-7224C49458BB}"/>
              </c:extLst>
            </c:dLbl>
            <c:dLbl>
              <c:idx val="18"/>
              <c:tx>
                <c:rich>
                  <a:bodyPr/>
                  <a:lstStyle/>
                  <a:p>
                    <a:r>
                      <a:rPr lang="en-US"/>
                      <a:t>NSAN</a:t>
                    </a:r>
                  </a:p>
                </c:rich>
              </c:tx>
              <c:showLegendKey val="0"/>
              <c:showVal val="0"/>
              <c:showCatName val="1"/>
              <c:showSerName val="0"/>
              <c:showPercent val="0"/>
              <c:showBubbleSize val="0"/>
              <c:extLst>
                <c:ext xmlns:c15="http://schemas.microsoft.com/office/drawing/2012/chart" uri="{CE6537A1-D6FC-4f65-9D91-7224C49458BB}"/>
              </c:extLst>
            </c:dLbl>
            <c:dLbl>
              <c:idx val="19"/>
              <c:tx>
                <c:rich>
                  <a:bodyPr/>
                  <a:lstStyle/>
                  <a:p>
                    <a:r>
                      <a:rPr lang="en-US"/>
                      <a:t>PUT</a:t>
                    </a:r>
                  </a:p>
                </c:rich>
              </c:tx>
              <c:showLegendKey val="0"/>
              <c:showVal val="0"/>
              <c:showCatName val="1"/>
              <c:showSerName val="0"/>
              <c:showPercent val="0"/>
              <c:showBubbleSize val="0"/>
              <c:extLst>
                <c:ext xmlns:c15="http://schemas.microsoft.com/office/drawing/2012/chart" uri="{CE6537A1-D6FC-4f65-9D91-7224C49458BB}"/>
              </c:extLst>
            </c:dLbl>
            <c:dLbl>
              <c:idx val="20"/>
              <c:tx>
                <c:rich>
                  <a:bodyPr/>
                  <a:lstStyle/>
                  <a:p>
                    <a:r>
                      <a:rPr lang="en-US"/>
                      <a:t>RIS</a:t>
                    </a:r>
                  </a:p>
                </c:rich>
              </c:tx>
              <c:showLegendKey val="0"/>
              <c:showVal val="0"/>
              <c:showCatName val="1"/>
              <c:showSerName val="0"/>
              <c:showPercent val="0"/>
              <c:showBubbleSize val="0"/>
              <c:extLst>
                <c:ext xmlns:c15="http://schemas.microsoft.com/office/drawing/2012/chart" uri="{CE6537A1-D6FC-4f65-9D91-7224C49458BB}"/>
              </c:extLst>
            </c:dLbl>
            <c:dLbl>
              <c:idx val="21"/>
              <c:tx>
                <c:rich>
                  <a:bodyPr/>
                  <a:lstStyle/>
                  <a:p>
                    <a:r>
                      <a:rPr lang="en-US"/>
                      <a:t>SAN</a:t>
                    </a:r>
                  </a:p>
                </c:rich>
              </c:tx>
              <c:showLegendKey val="0"/>
              <c:showVal val="0"/>
              <c:showCatName val="1"/>
              <c:showSerName val="0"/>
              <c:showPercent val="0"/>
              <c:showBubbleSize val="0"/>
              <c:extLst>
                <c:ext xmlns:c15="http://schemas.microsoft.com/office/drawing/2012/chart" uri="{CE6537A1-D6FC-4f65-9D91-7224C49458BB}"/>
              </c:extLst>
            </c:dLbl>
            <c:dLbl>
              <c:idx val="22"/>
              <c:tx>
                <c:rich>
                  <a:bodyPr/>
                  <a:lstStyle/>
                  <a:p>
                    <a:r>
                      <a:rPr lang="en-US"/>
                      <a:t>SANT</a:t>
                    </a:r>
                  </a:p>
                </c:rich>
              </c:tx>
              <c:showLegendKey val="0"/>
              <c:showVal val="0"/>
              <c:showCatName val="1"/>
              <c:showSerName val="0"/>
              <c:showPercent val="0"/>
              <c:showBubbleSize val="0"/>
              <c:extLst>
                <c:ext xmlns:c15="http://schemas.microsoft.com/office/drawing/2012/chart" uri="{CE6537A1-D6FC-4f65-9D91-7224C49458BB}"/>
              </c:extLst>
            </c:dLbl>
            <c:dLbl>
              <c:idx val="23"/>
              <c:tx>
                <c:rich>
                  <a:bodyPr/>
                  <a:lstStyle/>
                  <a:p>
                    <a:r>
                      <a:rPr lang="en-US"/>
                      <a:t>SUC</a:t>
                    </a:r>
                  </a:p>
                </c:rich>
              </c:tx>
              <c:showLegendKey val="0"/>
              <c:showVal val="0"/>
              <c:showCatName val="1"/>
              <c:showSerName val="0"/>
              <c:showPercent val="0"/>
              <c:showBubbleSize val="0"/>
              <c:extLst>
                <c:ext xmlns:c15="http://schemas.microsoft.com/office/drawing/2012/chart" uri="{CE6537A1-D6FC-4f65-9D91-7224C49458BB}"/>
              </c:extLst>
            </c:dLbl>
            <c:dLbl>
              <c:idx val="24"/>
              <c:tx>
                <c:rich>
                  <a:bodyPr/>
                  <a:lstStyle/>
                  <a:p>
                    <a:r>
                      <a:rPr lang="en-US"/>
                      <a:t>TOL</a:t>
                    </a:r>
                  </a:p>
                </c:rich>
              </c:tx>
              <c:showLegendKey val="0"/>
              <c:showVal val="0"/>
              <c:showCatName val="1"/>
              <c:showSerName val="0"/>
              <c:showPercent val="0"/>
              <c:showBubbleSize val="0"/>
              <c:extLst>
                <c:ext xmlns:c15="http://schemas.microsoft.com/office/drawing/2012/chart" uri="{CE6537A1-D6FC-4f65-9D91-7224C49458BB}"/>
              </c:extLst>
            </c:dLbl>
            <c:dLbl>
              <c:idx val="25"/>
              <c:layout>
                <c:manualLayout>
                  <c:x val="-8.9516196408699483E-3"/>
                  <c:y val="-6.2216311604957782E-2"/>
                </c:manualLayout>
              </c:layout>
              <c:tx>
                <c:rich>
                  <a:bodyPr/>
                  <a:lstStyle/>
                  <a:p>
                    <a:r>
                      <a:rPr lang="en-US"/>
                      <a:t>VAL</a:t>
                    </a:r>
                  </a:p>
                </c:rich>
              </c:tx>
              <c:showLegendKey val="0"/>
              <c:showVal val="0"/>
              <c:showCatName val="1"/>
              <c:showSerName val="0"/>
              <c:showPercent val="0"/>
              <c:showBubbleSize val="0"/>
              <c:extLst>
                <c:ext xmlns:c15="http://schemas.microsoft.com/office/drawing/2012/chart" uri="{CE6537A1-D6FC-4f65-9D91-7224C49458BB}"/>
              </c:extLst>
            </c:dLbl>
            <c:dLbl>
              <c:idx val="26"/>
              <c:tx>
                <c:rich>
                  <a:bodyPr/>
                  <a:lstStyle/>
                  <a:p>
                    <a:r>
                      <a:rPr lang="en-US"/>
                      <a:t>VAL</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'[Diagrama PIB con macros.xlsm]Hoja1'!$B$2:$B$27</c:f>
              <c:numCache>
                <c:formatCode>0.0</c:formatCode>
                <c:ptCount val="26"/>
                <c:pt idx="0">
                  <c:v>3.0902789025298887</c:v>
                </c:pt>
                <c:pt idx="1">
                  <c:v>-3.8634321653189545</c:v>
                </c:pt>
                <c:pt idx="2" formatCode="#\,##0.0">
                  <c:v>4.5163503315801563</c:v>
                </c:pt>
                <c:pt idx="3" formatCode="#\,##0.0">
                  <c:v>4.6747853414894109</c:v>
                </c:pt>
                <c:pt idx="4">
                  <c:v>1.3436775173958324</c:v>
                </c:pt>
                <c:pt idx="5">
                  <c:v>4.4364508393285291</c:v>
                </c:pt>
                <c:pt idx="6">
                  <c:v>11.671924290220815</c:v>
                </c:pt>
                <c:pt idx="7">
                  <c:v>5.2812858783008068</c:v>
                </c:pt>
                <c:pt idx="8">
                  <c:v>4.990524320909671</c:v>
                </c:pt>
                <c:pt idx="9">
                  <c:v>6.492773261065949</c:v>
                </c:pt>
                <c:pt idx="10" formatCode="#\,##0.0">
                  <c:v>-2.8870084619213543</c:v>
                </c:pt>
                <c:pt idx="11" formatCode="#\,##0.0">
                  <c:v>10.460035980467737</c:v>
                </c:pt>
                <c:pt idx="12" formatCode="#\,##0.0">
                  <c:v>2.2869109947643835</c:v>
                </c:pt>
                <c:pt idx="13" formatCode="#\,##0.0">
                  <c:v>10.045836516424743</c:v>
                </c:pt>
                <c:pt idx="14" formatCode="#\,##0.0">
                  <c:v>5.9653063771371535</c:v>
                </c:pt>
                <c:pt idx="15" formatCode="#\,##0.0">
                  <c:v>7.8085642317380319</c:v>
                </c:pt>
                <c:pt idx="16" formatCode="#\,##0.0">
                  <c:v>6.7992433924646036</c:v>
                </c:pt>
                <c:pt idx="17" formatCode="#\,##0.0">
                  <c:v>7.5259259259259323</c:v>
                </c:pt>
                <c:pt idx="18" formatCode="#\,##0.0">
                  <c:v>2.0161290322580783</c:v>
                </c:pt>
                <c:pt idx="19" formatCode="#\,##0.0">
                  <c:v>5.294117647058826</c:v>
                </c:pt>
                <c:pt idx="20" formatCode="#\,##0.0">
                  <c:v>1.2343797622676078</c:v>
                </c:pt>
                <c:pt idx="21" formatCode="#\,##0.0">
                  <c:v>3.6379482875496194</c:v>
                </c:pt>
                <c:pt idx="22" formatCode="#\,##0.0">
                  <c:v>5.7315233785822102</c:v>
                </c:pt>
                <c:pt idx="23" formatCode="#\,##0.0">
                  <c:v>6.6401816118047776</c:v>
                </c:pt>
                <c:pt idx="24" formatCode="#\,##0.0">
                  <c:v>3.3233563835277238</c:v>
                </c:pt>
                <c:pt idx="25" formatCode="#\,##0.0">
                  <c:v>3.8461538461538538</c:v>
                </c:pt>
              </c:numCache>
            </c:numRef>
          </c:xVal>
          <c:yVal>
            <c:numRef>
              <c:f>'[Diagrama PIB con macros.xlsm]Hoja1'!$C$2:$C$27</c:f>
              <c:numCache>
                <c:formatCode>#.##0_);\(#.##0\)</c:formatCode>
                <c:ptCount val="26"/>
                <c:pt idx="0">
                  <c:v>13868456.75467472</c:v>
                </c:pt>
                <c:pt idx="1">
                  <c:v>23358902.056671858</c:v>
                </c:pt>
                <c:pt idx="2">
                  <c:v>10342735.564871186</c:v>
                </c:pt>
                <c:pt idx="3">
                  <c:v>13795602.528272247</c:v>
                </c:pt>
                <c:pt idx="4">
                  <c:v>14773434.408515867</c:v>
                </c:pt>
                <c:pt idx="5">
                  <c:v>9691439.788150562</c:v>
                </c:pt>
                <c:pt idx="6">
                  <c:v>6380640.4578740634</c:v>
                </c:pt>
                <c:pt idx="7">
                  <c:v>44340398.832742408</c:v>
                </c:pt>
                <c:pt idx="8">
                  <c:v>6837224.8910736237</c:v>
                </c:pt>
                <c:pt idx="9">
                  <c:v>14308419.659857361</c:v>
                </c:pt>
                <c:pt idx="10">
                  <c:v>6635869.5316377748</c:v>
                </c:pt>
                <c:pt idx="11">
                  <c:v>7193270.7638011388</c:v>
                </c:pt>
                <c:pt idx="12">
                  <c:v>12661756.638879148</c:v>
                </c:pt>
                <c:pt idx="13">
                  <c:v>10254627.61797167</c:v>
                </c:pt>
                <c:pt idx="14">
                  <c:v>11470870.464149822</c:v>
                </c:pt>
                <c:pt idx="15">
                  <c:v>7113471.5555101633</c:v>
                </c:pt>
                <c:pt idx="16">
                  <c:v>41552483.720314734</c:v>
                </c:pt>
                <c:pt idx="17">
                  <c:v>5997162.0572407702</c:v>
                </c:pt>
                <c:pt idx="18">
                  <c:v>8070249.5576467477</c:v>
                </c:pt>
                <c:pt idx="19">
                  <c:v>10550732.639753696</c:v>
                </c:pt>
                <c:pt idx="20">
                  <c:v>9562885.3201696742</c:v>
                </c:pt>
                <c:pt idx="21">
                  <c:v>12664171.395607786</c:v>
                </c:pt>
                <c:pt idx="22">
                  <c:v>24890005.047334146</c:v>
                </c:pt>
                <c:pt idx="23">
                  <c:v>6299136.4087181594</c:v>
                </c:pt>
                <c:pt idx="24">
                  <c:v>10552721.344261402</c:v>
                </c:pt>
                <c:pt idx="25">
                  <c:v>13927103.464197967</c:v>
                </c:pt>
              </c:numCache>
            </c:numRef>
          </c:yVal>
          <c:smooth val="0"/>
        </c:ser>
        <c:dLbls>
          <c:showLegendKey val="0"/>
          <c:showVal val="0"/>
          <c:showCatName val="0"/>
          <c:showSerName val="0"/>
          <c:showPercent val="0"/>
          <c:showBubbleSize val="0"/>
        </c:dLbls>
        <c:axId val="283957504"/>
        <c:axId val="283980160"/>
      </c:scatterChart>
      <c:valAx>
        <c:axId val="283957504"/>
        <c:scaling>
          <c:orientation val="minMax"/>
          <c:max val="13"/>
          <c:min val="-5"/>
        </c:scaling>
        <c:delete val="0"/>
        <c:axPos val="b"/>
        <c:title>
          <c:tx>
            <c:rich>
              <a:bodyPr/>
              <a:lstStyle/>
              <a:p>
                <a:pPr>
                  <a:defRPr/>
                </a:pPr>
                <a:r>
                  <a:rPr lang="es-CO"/>
                  <a:t>Tasa de crecimiento PIB 2012</a:t>
                </a:r>
              </a:p>
            </c:rich>
          </c:tx>
          <c:layout>
            <c:manualLayout>
              <c:xMode val="edge"/>
              <c:yMode val="edge"/>
              <c:x val="4.4342631430849877E-2"/>
              <c:y val="0.63171945285018372"/>
            </c:manualLayout>
          </c:layout>
          <c:overlay val="0"/>
        </c:title>
        <c:numFmt formatCode="0.0" sourceLinked="1"/>
        <c:majorTickMark val="out"/>
        <c:minorTickMark val="none"/>
        <c:tickLblPos val="nextTo"/>
        <c:crossAx val="283980160"/>
        <c:crossesAt val="13500280"/>
        <c:crossBetween val="midCat"/>
      </c:valAx>
      <c:valAx>
        <c:axId val="283980160"/>
        <c:scaling>
          <c:orientation val="minMax"/>
        </c:scaling>
        <c:delete val="0"/>
        <c:axPos val="l"/>
        <c:numFmt formatCode="#.##0_);\(#.##0\)" sourceLinked="1"/>
        <c:majorTickMark val="out"/>
        <c:minorTickMark val="none"/>
        <c:tickLblPos val="nextTo"/>
        <c:crossAx val="283957504"/>
        <c:crossesAt val="4.2"/>
        <c:crossBetween val="midCat"/>
        <c:majorUnit val="10000000"/>
        <c:dispUnits>
          <c:builtInUnit val="millions"/>
          <c:dispUnitsLbl>
            <c:tx>
              <c:rich>
                <a:bodyPr/>
                <a:lstStyle/>
                <a:p>
                  <a:pPr>
                    <a:defRPr/>
                  </a:pPr>
                  <a:r>
                    <a:rPr lang="en-US"/>
                    <a:t>PIB per cápita</a:t>
                  </a:r>
                  <a:r>
                    <a:rPr lang="en-US" baseline="0"/>
                    <a:t> (en </a:t>
                  </a:r>
                  <a:r>
                    <a:rPr lang="en-US"/>
                    <a:t>Millones)</a:t>
                  </a:r>
                </a:p>
              </c:rich>
            </c:tx>
          </c:dispUnitsLbl>
        </c:dispUnits>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'Base para grafica'!$M$124</c:f>
              <c:strCache>
                <c:ptCount val="1"/>
                <c:pt idx="0">
                  <c:v>Nacional</c:v>
                </c:pt>
              </c:strCache>
            </c:strRef>
          </c:tx>
          <c:marker>
            <c:symbol val="square"/>
            <c:size val="5"/>
          </c:marker>
          <c:dLbls>
            <c:dLbl>
              <c:idx val="0"/>
              <c:layout>
                <c:manualLayout>
                  <c:x val="-2.6215899283945528E-2"/>
                  <c:y val="4.9127474041441528E-2"/>
                </c:manualLayout>
              </c:layout>
              <c:showLegendKey val="0"/>
              <c:showVal val="1"/>
              <c:showCatName val="0"/>
              <c:showSerName val="0"/>
              <c:showPercent val="0"/>
              <c:showBubbleSize val="0"/>
            </c:dLbl>
            <c:dLbl>
              <c:idx val="1"/>
              <c:layout>
                <c:manualLayout>
                  <c:x val="-6.4596198202497429E-2"/>
                  <c:y val="-7.9359855298986509E-2"/>
                </c:manualLayout>
              </c:layout>
              <c:showLegendKey val="0"/>
              <c:showVal val="1"/>
              <c:showCatName val="0"/>
              <c:showSerName val="0"/>
              <c:showPercent val="0"/>
              <c:showBubbleSize val="0"/>
            </c:dLbl>
            <c:dLbl>
              <c:idx val="2"/>
              <c:layout>
                <c:manualLayout>
                  <c:x val="-5.4534637715740152E-2"/>
                  <c:y val="-7.5445850167605466E-2"/>
                </c:manualLayout>
              </c:layout>
              <c:showLegendKey val="0"/>
              <c:showVal val="1"/>
              <c:showCatName val="0"/>
              <c:showSerName val="0"/>
              <c:showPercent val="0"/>
              <c:showBubbleSize val="0"/>
            </c:dLbl>
            <c:dLbl>
              <c:idx val="3"/>
              <c:layout>
                <c:manualLayout>
                  <c:x val="-2.4228107850155094E-2"/>
                  <c:y val="-9.7985392275403843E-2"/>
                </c:manualLayout>
              </c:layout>
              <c:showLegendKey val="0"/>
              <c:showVal val="1"/>
              <c:showCatName val="0"/>
              <c:showSerName val="0"/>
              <c:showPercent val="0"/>
              <c:showBubbleSize val="0"/>
            </c:dLbl>
            <c:dLbl>
              <c:idx val="4"/>
              <c:layout>
                <c:manualLayout>
                  <c:x val="-1.8171001352103713E-2"/>
                  <c:y val="-0.10419377353111779"/>
                </c:manualLayout>
              </c:layout>
              <c:showLegendKey val="0"/>
              <c:showVal val="1"/>
              <c:showCatName val="0"/>
              <c:showSerName val="0"/>
              <c:showPercent val="0"/>
              <c:showBubbleSize val="0"/>
            </c:dLbl>
            <c:dLbl>
              <c:idx val="5"/>
              <c:layout>
                <c:manualLayout>
                  <c:x val="1.6002210250034541E-2"/>
                  <c:y val="-0.12916256254485037"/>
                </c:manualLayout>
              </c:layout>
              <c:showLegendKey val="0"/>
              <c:showVal val="1"/>
              <c:showCatName val="0"/>
              <c:showSerName val="0"/>
              <c:showPercent val="0"/>
              <c:showBubbleSize val="0"/>
            </c:dLbl>
            <c:dLbl>
              <c:idx val="6"/>
              <c:layout>
                <c:manualLayout>
                  <c:x val="-2.5319778065717251E-3"/>
                  <c:y val="2.942306369007245E-2"/>
                </c:manualLayout>
              </c:layout>
              <c:showLegendKey val="0"/>
              <c:showVal val="1"/>
              <c:showCatName val="0"/>
              <c:showSerName val="0"/>
              <c:showPercent val="0"/>
              <c:showBubbleSize val="0"/>
            </c:dLbl>
            <c:dLbl>
              <c:idx val="7"/>
              <c:layout>
                <c:manualLayout>
                  <c:x val="1.8184832159138003E-2"/>
                  <c:y val="1.8220924631612085E-2"/>
                </c:manualLayout>
              </c:layout>
              <c:showLegendKey val="0"/>
              <c:showVal val="1"/>
              <c:showCatName val="0"/>
              <c:showSerName val="0"/>
              <c:showPercent val="0"/>
              <c:showBubbleSize val="0"/>
            </c:dLbl>
            <c:dLbl>
              <c:idx val="8"/>
              <c:layout>
                <c:manualLayout>
                  <c:x val="-1.211389485405226E-2"/>
                  <c:y val="-7.9224984517384772E-2"/>
                </c:manualLayout>
              </c:layout>
              <c:showLegendKey val="0"/>
              <c:showVal val="1"/>
              <c:showCatName val="0"/>
              <c:showSerName val="0"/>
              <c:showPercent val="0"/>
              <c:showBubbleSize val="0"/>
            </c:dLbl>
            <c:dLbl>
              <c:idx val="9"/>
              <c:layout>
                <c:manualLayout>
                  <c:x val="2.9380537959070008E-3"/>
                  <c:y val="5.668544240958640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'Base para grafica'!$N$123:$W$123</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'Base para grafica'!$N$124:$W$124</c:f>
              <c:numCache>
                <c:formatCode>General</c:formatCode>
                <c:ptCount val="10"/>
                <c:pt idx="0">
                  <c:v>74.900000000000006</c:v>
                </c:pt>
                <c:pt idx="1">
                  <c:v>75.3</c:v>
                </c:pt>
                <c:pt idx="2">
                  <c:v>75.8</c:v>
                </c:pt>
                <c:pt idx="3">
                  <c:v>76.2</c:v>
                </c:pt>
                <c:pt idx="4">
                  <c:v>76.599999999999994</c:v>
                </c:pt>
                <c:pt idx="5">
                  <c:v>77</c:v>
                </c:pt>
                <c:pt idx="6">
                  <c:v>77.400000000000006</c:v>
                </c:pt>
                <c:pt idx="7">
                  <c:v>77.8</c:v>
                </c:pt>
                <c:pt idx="8">
                  <c:v>78.099999999999994</c:v>
                </c:pt>
                <c:pt idx="9">
                  <c:v>78.5</c:v>
                </c:pt>
              </c:numCache>
            </c:numRef>
          </c:val>
          <c:smooth val="0"/>
        </c:ser>
        <c:ser>
          <c:idx val="1"/>
          <c:order val="1"/>
          <c:tx>
            <c:strRef>
              <c:f>'Base para grafica'!$M$125</c:f>
              <c:strCache>
                <c:ptCount val="1"/>
                <c:pt idx="0">
                  <c:v>Bolivar</c:v>
                </c:pt>
              </c:strCache>
            </c:strRef>
          </c:tx>
          <c:marker>
            <c:symbol val="square"/>
            <c:size val="5"/>
          </c:marker>
          <c:dLbls>
            <c:dLbl>
              <c:idx val="0"/>
              <c:layout>
                <c:manualLayout>
                  <c:x val="-1.8149468735039205E-2"/>
                  <c:y val="7.9359765759251577E-2"/>
                </c:manualLayout>
              </c:layout>
              <c:showLegendKey val="0"/>
              <c:showVal val="1"/>
              <c:showCatName val="0"/>
              <c:showSerName val="0"/>
              <c:showPercent val="0"/>
              <c:showBubbleSize val="0"/>
            </c:dLbl>
            <c:dLbl>
              <c:idx val="1"/>
              <c:layout>
                <c:manualLayout>
                  <c:x val="0"/>
                  <c:y val="7.9359765759251508E-2"/>
                </c:manualLayout>
              </c:layout>
              <c:showLegendKey val="0"/>
              <c:showVal val="1"/>
              <c:showCatName val="0"/>
              <c:showSerName val="0"/>
              <c:showPercent val="0"/>
              <c:showBubbleSize val="0"/>
            </c:dLbl>
            <c:dLbl>
              <c:idx val="2"/>
              <c:layout>
                <c:manualLayout>
                  <c:x val="-6.0498229116797359E-3"/>
                  <c:y val="6.4243619900346452E-2"/>
                </c:manualLayout>
              </c:layout>
              <c:showLegendKey val="0"/>
              <c:showVal val="1"/>
              <c:showCatName val="0"/>
              <c:showSerName val="0"/>
              <c:showPercent val="0"/>
              <c:showBubbleSize val="0"/>
            </c:dLbl>
            <c:dLbl>
              <c:idx val="3"/>
              <c:layout>
                <c:manualLayout>
                  <c:x val="-6.0714228903205377E-3"/>
                  <c:y val="6.1948941775536476E-2"/>
                </c:manualLayout>
              </c:layout>
              <c:showLegendKey val="0"/>
              <c:showVal val="1"/>
              <c:showCatName val="0"/>
              <c:showSerName val="0"/>
              <c:showPercent val="0"/>
              <c:showBubbleSize val="0"/>
            </c:dLbl>
            <c:dLbl>
              <c:idx val="4"/>
              <c:layout>
                <c:manualLayout>
                  <c:x val="2.0166076372265772E-3"/>
                  <c:y val="4.9127474041441528E-2"/>
                </c:manualLayout>
              </c:layout>
              <c:showLegendKey val="0"/>
              <c:showVal val="1"/>
              <c:showCatName val="0"/>
              <c:showSerName val="0"/>
              <c:showPercent val="0"/>
              <c:showBubbleSize val="0"/>
            </c:dLbl>
            <c:dLbl>
              <c:idx val="5"/>
              <c:layout>
                <c:manualLayout>
                  <c:x val="8.0664305489063295E-3"/>
                  <c:y val="5.6685546970893869E-2"/>
                </c:manualLayout>
              </c:layout>
              <c:showLegendKey val="0"/>
              <c:showVal val="1"/>
              <c:showCatName val="0"/>
              <c:showSerName val="0"/>
              <c:showPercent val="0"/>
              <c:showBubbleSize val="0"/>
            </c:dLbl>
            <c:dLbl>
              <c:idx val="6"/>
              <c:layout>
                <c:manualLayout>
                  <c:x val="1.4116280919430518E-2"/>
                  <c:y val="5.9384824088000304E-2"/>
                </c:manualLayout>
              </c:layout>
              <c:showLegendKey val="0"/>
              <c:showVal val="1"/>
              <c:showCatName val="0"/>
              <c:showSerName val="0"/>
              <c:showPercent val="0"/>
              <c:showBubbleSize val="0"/>
            </c:dLbl>
            <c:dLbl>
              <c:idx val="7"/>
              <c:layout>
                <c:manualLayout>
                  <c:x val="1.6132983377077866E-2"/>
                  <c:y val="4.6697926804093355E-2"/>
                </c:manualLayout>
              </c:layout>
              <c:showLegendKey val="0"/>
              <c:showVal val="1"/>
              <c:showCatName val="0"/>
              <c:showSerName val="0"/>
              <c:showPercent val="0"/>
              <c:showBubbleSize val="0"/>
            </c:dLbl>
            <c:dLbl>
              <c:idx val="8"/>
              <c:layout>
                <c:manualLayout>
                  <c:x val="2.0187385667700647E-2"/>
                  <c:y val="4.5483303351126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'Base para grafica'!$N$123:$W$123</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'Base para grafica'!$N$125:$W$125</c:f>
              <c:numCache>
                <c:formatCode>General</c:formatCode>
                <c:ptCount val="10"/>
                <c:pt idx="0">
                  <c:v>72.599999999999994</c:v>
                </c:pt>
                <c:pt idx="1">
                  <c:v>73</c:v>
                </c:pt>
                <c:pt idx="2">
                  <c:v>73.3</c:v>
                </c:pt>
                <c:pt idx="3">
                  <c:v>73.7</c:v>
                </c:pt>
                <c:pt idx="4">
                  <c:v>74.099999999999994</c:v>
                </c:pt>
                <c:pt idx="5">
                  <c:v>74.400000000000006</c:v>
                </c:pt>
                <c:pt idx="6">
                  <c:v>74.8</c:v>
                </c:pt>
                <c:pt idx="7">
                  <c:v>75.2</c:v>
                </c:pt>
                <c:pt idx="8">
                  <c:v>75.599999999999994</c:v>
                </c:pt>
                <c:pt idx="9">
                  <c:v>76</c:v>
                </c:pt>
              </c:numCache>
            </c:numRef>
          </c:val>
          <c:smooth val="0"/>
        </c:ser>
        <c:dLbls>
          <c:showLegendKey val="0"/>
          <c:showVal val="1"/>
          <c:showCatName val="0"/>
          <c:showSerName val="0"/>
          <c:showPercent val="0"/>
          <c:showBubbleSize val="0"/>
        </c:dLbls>
        <c:marker val="1"/>
        <c:smooth val="0"/>
        <c:axId val="284026368"/>
        <c:axId val="284027904"/>
      </c:lineChart>
      <c:catAx>
        <c:axId val="284026368"/>
        <c:scaling>
          <c:orientation val="minMax"/>
        </c:scaling>
        <c:delete val="0"/>
        <c:axPos val="b"/>
        <c:numFmt formatCode="General" sourceLinked="1"/>
        <c:majorTickMark val="none"/>
        <c:minorTickMark val="none"/>
        <c:tickLblPos val="nextTo"/>
        <c:crossAx val="284027904"/>
        <c:crosses val="autoZero"/>
        <c:auto val="1"/>
        <c:lblAlgn val="ctr"/>
        <c:lblOffset val="100"/>
        <c:noMultiLvlLbl val="0"/>
      </c:catAx>
      <c:valAx>
        <c:axId val="284027904"/>
        <c:scaling>
          <c:orientation val="minMax"/>
        </c:scaling>
        <c:delete val="0"/>
        <c:axPos val="l"/>
        <c:numFmt formatCode="General" sourceLinked="1"/>
        <c:majorTickMark val="none"/>
        <c:minorTickMark val="none"/>
        <c:tickLblPos val="nextTo"/>
        <c:crossAx val="284026368"/>
        <c:crosses val="autoZero"/>
        <c:crossBetween val="between"/>
      </c:valAx>
    </c:plotArea>
    <c:legend>
      <c:legendPos val="r"/>
      <c:overlay val="0"/>
    </c:legend>
    <c:plotVisOnly val="1"/>
    <c:dispBlanksAs val="gap"/>
    <c:showDLblsOverMax val="0"/>
  </c:chart>
  <c:spPr>
    <a:ln>
      <a:noFill/>
    </a:ln>
  </c:spPr>
  <c:txPr>
    <a:bodyPr/>
    <a:lstStyle/>
    <a:p>
      <a:pPr>
        <a:defRPr sz="700">
          <a:latin typeface="Arial" pitchFamily="34" charset="0"/>
          <a:cs typeface="Arial" pitchFamily="34" charset="0"/>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'Base para grafica'!$N$127</c:f>
              <c:strCache>
                <c:ptCount val="1"/>
                <c:pt idx="0">
                  <c:v>2001</c:v>
                </c:pt>
              </c:strCache>
            </c:strRef>
          </c:tx>
          <c:invertIfNegative val="0"/>
          <c:cat>
            <c:strRef>
              <c:f>'Base para grafica'!$M$128:$M$140</c:f>
              <c:strCache>
                <c:ptCount val="13"/>
                <c:pt idx="0">
                  <c:v>Medellin</c:v>
                </c:pt>
                <c:pt idx="1">
                  <c:v>Manizales</c:v>
                </c:pt>
                <c:pt idx="2">
                  <c:v>Pereira</c:v>
                </c:pt>
                <c:pt idx="3">
                  <c:v>Bucaramanga</c:v>
                </c:pt>
                <c:pt idx="4">
                  <c:v>Cali</c:v>
                </c:pt>
                <c:pt idx="5">
                  <c:v>Pasto</c:v>
                </c:pt>
                <c:pt idx="6">
                  <c:v>Bogota</c:v>
                </c:pt>
                <c:pt idx="7">
                  <c:v>Ibague</c:v>
                </c:pt>
                <c:pt idx="8">
                  <c:v>Barranquilla</c:v>
                </c:pt>
                <c:pt idx="9">
                  <c:v>Cartagena </c:v>
                </c:pt>
                <c:pt idx="10">
                  <c:v>Villavicencio</c:v>
                </c:pt>
                <c:pt idx="11">
                  <c:v>Monteria</c:v>
                </c:pt>
                <c:pt idx="12">
                  <c:v>Cúcuta</c:v>
                </c:pt>
              </c:strCache>
            </c:strRef>
          </c:cat>
          <c:val>
            <c:numRef>
              <c:f>'Base para grafica'!$N$128:$N$140</c:f>
              <c:numCache>
                <c:formatCode>General</c:formatCode>
                <c:ptCount val="13"/>
                <c:pt idx="0">
                  <c:v>78.900000000000006</c:v>
                </c:pt>
                <c:pt idx="1">
                  <c:v>79.5</c:v>
                </c:pt>
                <c:pt idx="2">
                  <c:v>77</c:v>
                </c:pt>
                <c:pt idx="3">
                  <c:v>77.400000000000006</c:v>
                </c:pt>
                <c:pt idx="4">
                  <c:v>77.5</c:v>
                </c:pt>
                <c:pt idx="5">
                  <c:v>78.099999999999994</c:v>
                </c:pt>
                <c:pt idx="6">
                  <c:v>76.599999999999994</c:v>
                </c:pt>
                <c:pt idx="7">
                  <c:v>75.599999999999994</c:v>
                </c:pt>
                <c:pt idx="8">
                  <c:v>74.900000000000006</c:v>
                </c:pt>
                <c:pt idx="9">
                  <c:v>75</c:v>
                </c:pt>
                <c:pt idx="10">
                  <c:v>73.7</c:v>
                </c:pt>
                <c:pt idx="11">
                  <c:v>73.3</c:v>
                </c:pt>
                <c:pt idx="12">
                  <c:v>73.5</c:v>
                </c:pt>
              </c:numCache>
            </c:numRef>
          </c:val>
        </c:ser>
        <c:ser>
          <c:idx val="1"/>
          <c:order val="1"/>
          <c:tx>
            <c:strRef>
              <c:f>'Base para grafica'!$O$127</c:f>
              <c:strCache>
                <c:ptCount val="1"/>
                <c:pt idx="0">
                  <c:v>2012</c:v>
                </c:pt>
              </c:strCache>
            </c:strRef>
          </c:tx>
          <c:invertIfNegative val="0"/>
          <c:cat>
            <c:strRef>
              <c:f>'Base para grafica'!$M$128:$M$140</c:f>
              <c:strCache>
                <c:ptCount val="13"/>
                <c:pt idx="0">
                  <c:v>Medellin</c:v>
                </c:pt>
                <c:pt idx="1">
                  <c:v>Manizales</c:v>
                </c:pt>
                <c:pt idx="2">
                  <c:v>Pereira</c:v>
                </c:pt>
                <c:pt idx="3">
                  <c:v>Bucaramanga</c:v>
                </c:pt>
                <c:pt idx="4">
                  <c:v>Cali</c:v>
                </c:pt>
                <c:pt idx="5">
                  <c:v>Pasto</c:v>
                </c:pt>
                <c:pt idx="6">
                  <c:v>Bogota</c:v>
                </c:pt>
                <c:pt idx="7">
                  <c:v>Ibague</c:v>
                </c:pt>
                <c:pt idx="8">
                  <c:v>Barranquilla</c:v>
                </c:pt>
                <c:pt idx="9">
                  <c:v>Cartagena </c:v>
                </c:pt>
                <c:pt idx="10">
                  <c:v>Villavicencio</c:v>
                </c:pt>
                <c:pt idx="11">
                  <c:v>Monteria</c:v>
                </c:pt>
                <c:pt idx="12">
                  <c:v>Cúcuta</c:v>
                </c:pt>
              </c:strCache>
            </c:strRef>
          </c:cat>
          <c:val>
            <c:numRef>
              <c:f>'Base para grafica'!$O$128:$O$140</c:f>
              <c:numCache>
                <c:formatCode>General</c:formatCode>
                <c:ptCount val="13"/>
                <c:pt idx="0">
                  <c:v>83.6</c:v>
                </c:pt>
                <c:pt idx="1">
                  <c:v>83.3</c:v>
                </c:pt>
                <c:pt idx="2">
                  <c:v>83.7</c:v>
                </c:pt>
                <c:pt idx="3">
                  <c:v>81.7</c:v>
                </c:pt>
                <c:pt idx="4">
                  <c:v>81.2</c:v>
                </c:pt>
                <c:pt idx="5">
                  <c:v>81.099999999999994</c:v>
                </c:pt>
                <c:pt idx="6">
                  <c:v>80.900000000000006</c:v>
                </c:pt>
                <c:pt idx="7">
                  <c:v>79.7</c:v>
                </c:pt>
                <c:pt idx="8">
                  <c:v>78.599999999999994</c:v>
                </c:pt>
                <c:pt idx="9">
                  <c:v>78.599999999999994</c:v>
                </c:pt>
                <c:pt idx="10">
                  <c:v>78</c:v>
                </c:pt>
                <c:pt idx="11">
                  <c:v>77.900000000000006</c:v>
                </c:pt>
                <c:pt idx="12">
                  <c:v>77.8</c:v>
                </c:pt>
              </c:numCache>
            </c:numRef>
          </c:val>
        </c:ser>
        <c:dLbls>
          <c:showLegendKey val="0"/>
          <c:showVal val="1"/>
          <c:showCatName val="0"/>
          <c:showSerName val="0"/>
          <c:showPercent val="0"/>
          <c:showBubbleSize val="0"/>
        </c:dLbls>
        <c:gapWidth val="150"/>
        <c:overlap val="-25"/>
        <c:axId val="284259072"/>
        <c:axId val="284260608"/>
      </c:barChart>
      <c:catAx>
        <c:axId val="284259072"/>
        <c:scaling>
          <c:orientation val="minMax"/>
        </c:scaling>
        <c:delete val="0"/>
        <c:axPos val="l"/>
        <c:majorTickMark val="none"/>
        <c:minorTickMark val="none"/>
        <c:tickLblPos val="nextTo"/>
        <c:crossAx val="284260608"/>
        <c:crosses val="autoZero"/>
        <c:auto val="1"/>
        <c:lblAlgn val="ctr"/>
        <c:lblOffset val="100"/>
        <c:noMultiLvlLbl val="0"/>
      </c:catAx>
      <c:valAx>
        <c:axId val="284260608"/>
        <c:scaling>
          <c:orientation val="minMax"/>
        </c:scaling>
        <c:delete val="1"/>
        <c:axPos val="b"/>
        <c:numFmt formatCode="General" sourceLinked="1"/>
        <c:majorTickMark val="out"/>
        <c:minorTickMark val="none"/>
        <c:tickLblPos val="none"/>
        <c:crossAx val="284259072"/>
        <c:crosses val="autoZero"/>
        <c:crossBetween val="between"/>
      </c:valAx>
    </c:plotArea>
    <c:legend>
      <c:legendPos val="t"/>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s-E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0.32947</cdr:x>
      <cdr:y>0.3426</cdr:y>
    </cdr:from>
    <cdr:to>
      <cdr:x>0.34326</cdr:x>
      <cdr:y>0.65541</cdr:y>
    </cdr:to>
    <cdr:sp macro="" textlink="">
      <cdr:nvSpPr>
        <cdr:cNvPr id="2" name="1 Flecha abajo"/>
        <cdr:cNvSpPr/>
      </cdr:nvSpPr>
      <cdr:spPr>
        <a:xfrm xmlns:a="http://schemas.openxmlformats.org/drawingml/2006/main">
          <a:off x="1854679" y="992038"/>
          <a:ext cx="77638" cy="905773"/>
        </a:xfrm>
        <a:prstGeom xmlns:a="http://schemas.openxmlformats.org/drawingml/2006/main" prst="down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drawings/drawing2.xml><?xml version="1.0" encoding="utf-8"?>
<c:userShapes xmlns:c="http://schemas.openxmlformats.org/drawingml/2006/chart">
  <cdr:relSizeAnchor xmlns:cdr="http://schemas.openxmlformats.org/drawingml/2006/chartDrawing">
    <cdr:from>
      <cdr:x>0.22083</cdr:x>
      <cdr:y>0.17188</cdr:y>
    </cdr:from>
    <cdr:to>
      <cdr:x>0.39167</cdr:x>
      <cdr:y>0.26215</cdr:y>
    </cdr:to>
    <cdr:sp macro="" textlink="">
      <cdr:nvSpPr>
        <cdr:cNvPr id="2" name="1 CuadroTexto"/>
        <cdr:cNvSpPr txBox="1"/>
      </cdr:nvSpPr>
      <cdr:spPr>
        <a:xfrm xmlns:a="http://schemas.openxmlformats.org/drawingml/2006/main">
          <a:off x="1009650" y="471488"/>
          <a:ext cx="7810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a:t>Hombres</a:t>
          </a:r>
        </a:p>
      </cdr:txBody>
    </cdr:sp>
  </cdr:relSizeAnchor>
  <cdr:relSizeAnchor xmlns:cdr="http://schemas.openxmlformats.org/drawingml/2006/chartDrawing">
    <cdr:from>
      <cdr:x>0.73611</cdr:x>
      <cdr:y>0.12269</cdr:y>
    </cdr:from>
    <cdr:to>
      <cdr:x>0.90694</cdr:x>
      <cdr:y>0.21296</cdr:y>
    </cdr:to>
    <cdr:sp macro="" textlink="">
      <cdr:nvSpPr>
        <cdr:cNvPr id="3" name="1 CuadroTexto"/>
        <cdr:cNvSpPr txBox="1"/>
      </cdr:nvSpPr>
      <cdr:spPr>
        <a:xfrm xmlns:a="http://schemas.openxmlformats.org/drawingml/2006/main">
          <a:off x="3365500" y="336550"/>
          <a:ext cx="781050"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1100"/>
            <a:t>Mujeres</a:t>
          </a:r>
        </a:p>
      </cdr:txBody>
    </cdr:sp>
  </cdr:relSizeAnchor>
</c:userShapes>
</file>

<file path=word/drawings/drawing3.xml><?xml version="1.0" encoding="utf-8"?>
<c:userShapes xmlns:c="http://schemas.openxmlformats.org/drawingml/2006/chart">
  <cdr:relSizeAnchor xmlns:cdr="http://schemas.openxmlformats.org/drawingml/2006/chartDrawing">
    <cdr:from>
      <cdr:x>0.23979</cdr:x>
      <cdr:y>0.12821</cdr:y>
    </cdr:from>
    <cdr:to>
      <cdr:x>0.24901</cdr:x>
      <cdr:y>0.33847</cdr:y>
    </cdr:to>
    <cdr:sp macro="" textlink="">
      <cdr:nvSpPr>
        <cdr:cNvPr id="2" name="1 Flecha abajo"/>
        <cdr:cNvSpPr/>
      </cdr:nvSpPr>
      <cdr:spPr>
        <a:xfrm xmlns:a="http://schemas.openxmlformats.org/drawingml/2006/main">
          <a:off x="1345720" y="431321"/>
          <a:ext cx="51759" cy="707366"/>
        </a:xfrm>
        <a:prstGeom xmlns:a="http://schemas.openxmlformats.org/drawingml/2006/main" prst="down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6F4CD-C123-45CA-9726-6ED1FC26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23938</Words>
  <Characters>131665</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Amaya Gomez</dc:creator>
  <cp:lastModifiedBy>Carlos Parra</cp:lastModifiedBy>
  <cp:revision>2</cp:revision>
  <dcterms:created xsi:type="dcterms:W3CDTF">2014-06-04T22:42:00Z</dcterms:created>
  <dcterms:modified xsi:type="dcterms:W3CDTF">2014-06-04T22:42:00Z</dcterms:modified>
</cp:coreProperties>
</file>