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05D1CD" w14:textId="77777777" w:rsidR="00E73DA9" w:rsidRDefault="0098289F">
      <w:pPr>
        <w:numPr>
          <w:ilvl w:val="0"/>
          <w:numId w:val="1"/>
        </w:numPr>
        <w:pBdr>
          <w:top w:val="nil"/>
          <w:left w:val="nil"/>
          <w:bottom w:val="nil"/>
          <w:right w:val="nil"/>
          <w:between w:val="nil"/>
        </w:pBdr>
        <w:spacing w:before="240" w:after="60" w:line="276" w:lineRule="auto"/>
        <w:ind w:left="0" w:hanging="2"/>
        <w:jc w:val="center"/>
        <w:rPr>
          <w:b/>
          <w:color w:val="000000"/>
          <w:sz w:val="22"/>
          <w:szCs w:val="22"/>
        </w:rPr>
      </w:pPr>
      <w:r>
        <w:rPr>
          <w:b/>
          <w:color w:val="000000"/>
          <w:sz w:val="22"/>
          <w:szCs w:val="22"/>
        </w:rPr>
        <w:t>INTRODUCCIÓN</w:t>
      </w:r>
    </w:p>
    <w:p w14:paraId="3C4E604B" w14:textId="77777777" w:rsidR="00E73DA9" w:rsidRDefault="00E73DA9">
      <w:pPr>
        <w:spacing w:line="276" w:lineRule="auto"/>
        <w:ind w:left="0" w:hanging="2"/>
        <w:jc w:val="both"/>
        <w:rPr>
          <w:sz w:val="22"/>
          <w:szCs w:val="22"/>
        </w:rPr>
      </w:pPr>
    </w:p>
    <w:p w14:paraId="25D0E747" w14:textId="77777777" w:rsidR="00E73DA9" w:rsidRDefault="0098289F">
      <w:pPr>
        <w:spacing w:line="276" w:lineRule="auto"/>
        <w:ind w:left="0" w:hanging="2"/>
        <w:jc w:val="both"/>
        <w:rPr>
          <w:sz w:val="22"/>
          <w:szCs w:val="22"/>
        </w:rPr>
      </w:pPr>
      <w:r>
        <w:rPr>
          <w:sz w:val="22"/>
          <w:szCs w:val="22"/>
        </w:rPr>
        <w:t xml:space="preserve">Para garantizar habilidades y competencias en prevención de los riesgos laborales es fundamental desarrollar entre los trabajadores y contratistas procesos de capacitación que </w:t>
      </w:r>
      <w:bookmarkStart w:id="0" w:name="_GoBack"/>
      <w:r>
        <w:rPr>
          <w:sz w:val="22"/>
          <w:szCs w:val="22"/>
        </w:rPr>
        <w:t xml:space="preserve">permitan fortalecer una cultura del autocuidado dando a conocer los peligros y riesgos a los que </w:t>
      </w:r>
      <w:bookmarkEnd w:id="0"/>
      <w:r>
        <w:rPr>
          <w:sz w:val="22"/>
          <w:szCs w:val="22"/>
        </w:rPr>
        <w:t>pueden verse expuestos en el desarrollo de sus actividades laborales.</w:t>
      </w:r>
    </w:p>
    <w:p w14:paraId="5A4553F3" w14:textId="77777777" w:rsidR="00E73DA9" w:rsidRDefault="00E73DA9">
      <w:pPr>
        <w:pBdr>
          <w:top w:val="nil"/>
          <w:left w:val="nil"/>
          <w:bottom w:val="nil"/>
          <w:right w:val="nil"/>
          <w:between w:val="nil"/>
        </w:pBdr>
        <w:spacing w:line="276" w:lineRule="auto"/>
        <w:ind w:left="0" w:hanging="2"/>
        <w:jc w:val="both"/>
        <w:rPr>
          <w:color w:val="000000"/>
          <w:sz w:val="22"/>
          <w:szCs w:val="22"/>
        </w:rPr>
      </w:pPr>
    </w:p>
    <w:p w14:paraId="30B28438" w14:textId="4D4EA742" w:rsidR="00E73DA9" w:rsidRDefault="0098289F">
      <w:pPr>
        <w:spacing w:line="276" w:lineRule="auto"/>
        <w:ind w:left="0" w:hanging="2"/>
        <w:jc w:val="both"/>
        <w:rPr>
          <w:sz w:val="22"/>
          <w:szCs w:val="22"/>
        </w:rPr>
      </w:pPr>
      <w:r>
        <w:rPr>
          <w:sz w:val="22"/>
          <w:szCs w:val="22"/>
        </w:rPr>
        <w:t>El Sistema de Gestión de Seguridad y Salud en el Trabajo de la GOBERNACION DE BOLIVAR.</w:t>
      </w:r>
      <w:r>
        <w:rPr>
          <w:color w:val="FF0000"/>
          <w:sz w:val="22"/>
          <w:szCs w:val="22"/>
        </w:rPr>
        <w:t xml:space="preserve"> </w:t>
      </w:r>
      <w:r>
        <w:rPr>
          <w:sz w:val="22"/>
          <w:szCs w:val="22"/>
        </w:rPr>
        <w:t xml:space="preserve">Estructura el presente Programa de Capacitación como herramienta clave para la prevención de los riesgos laborales, capacitándose sobre los peligros y riesgos a los cuales están expuestos en su ámbito laboral, sus efectos en la salud y las recomendaciones para control. </w:t>
      </w:r>
    </w:p>
    <w:p w14:paraId="4B87243F" w14:textId="77777777" w:rsidR="00E73DA9" w:rsidRDefault="00E73DA9">
      <w:pPr>
        <w:spacing w:line="276" w:lineRule="auto"/>
        <w:ind w:left="0" w:hanging="2"/>
        <w:jc w:val="both"/>
        <w:rPr>
          <w:sz w:val="22"/>
          <w:szCs w:val="22"/>
        </w:rPr>
      </w:pPr>
    </w:p>
    <w:p w14:paraId="1A865ECE" w14:textId="77777777" w:rsidR="00E73DA9" w:rsidRDefault="0098289F">
      <w:pPr>
        <w:spacing w:line="276" w:lineRule="auto"/>
        <w:ind w:left="0" w:hanging="2"/>
        <w:jc w:val="both"/>
        <w:rPr>
          <w:sz w:val="22"/>
          <w:szCs w:val="22"/>
        </w:rPr>
      </w:pPr>
      <w:r>
        <w:rPr>
          <w:sz w:val="22"/>
          <w:szCs w:val="22"/>
        </w:rPr>
        <w:t xml:space="preserve">Este programa no se limita a impartir las habilidades y conocimientos por la exposición a determinados peligros o riesgos. El objetivo principal es generar una cultura del autocuidado, modificando actos inseguros y motivando su compromiso con la prevención como actor clave el Sistema de Gestión de la Seguridad y Salud en el Trabajo. </w:t>
      </w:r>
    </w:p>
    <w:p w14:paraId="2FEFB71D" w14:textId="77777777" w:rsidR="00E73DA9" w:rsidRDefault="00E73DA9">
      <w:pPr>
        <w:spacing w:line="276" w:lineRule="auto"/>
        <w:ind w:left="0" w:hanging="2"/>
        <w:jc w:val="both"/>
        <w:rPr>
          <w:sz w:val="22"/>
          <w:szCs w:val="22"/>
        </w:rPr>
      </w:pPr>
    </w:p>
    <w:p w14:paraId="1A50A8CE" w14:textId="13FA9D33" w:rsidR="00E73DA9" w:rsidRDefault="0098289F">
      <w:pPr>
        <w:spacing w:line="276" w:lineRule="auto"/>
        <w:ind w:left="0" w:hanging="2"/>
        <w:jc w:val="both"/>
        <w:rPr>
          <w:sz w:val="22"/>
          <w:szCs w:val="22"/>
        </w:rPr>
      </w:pPr>
      <w:r>
        <w:rPr>
          <w:sz w:val="22"/>
          <w:szCs w:val="22"/>
        </w:rPr>
        <w:t xml:space="preserve">La misión de la </w:t>
      </w:r>
      <w:r w:rsidRPr="003F0E8E">
        <w:rPr>
          <w:b/>
          <w:bCs/>
          <w:sz w:val="22"/>
          <w:szCs w:val="22"/>
        </w:rPr>
        <w:t xml:space="preserve">GOBERNACION DE </w:t>
      </w:r>
      <w:r w:rsidR="003F0E8E" w:rsidRPr="003F0E8E">
        <w:rPr>
          <w:b/>
          <w:bCs/>
          <w:sz w:val="22"/>
          <w:szCs w:val="22"/>
        </w:rPr>
        <w:t>BOLIVAR</w:t>
      </w:r>
      <w:r w:rsidR="003F0E8E">
        <w:rPr>
          <w:sz w:val="22"/>
          <w:szCs w:val="22"/>
        </w:rPr>
        <w:t>,</w:t>
      </w:r>
      <w:r w:rsidR="003F0E8E">
        <w:rPr>
          <w:color w:val="FF0000"/>
          <w:sz w:val="22"/>
          <w:szCs w:val="22"/>
        </w:rPr>
        <w:t xml:space="preserve"> </w:t>
      </w:r>
      <w:r w:rsidR="003F0E8E" w:rsidRPr="003F0E8E">
        <w:rPr>
          <w:color w:val="000000" w:themeColor="text1"/>
          <w:sz w:val="22"/>
          <w:szCs w:val="22"/>
        </w:rPr>
        <w:t>obliga</w:t>
      </w:r>
      <w:r>
        <w:rPr>
          <w:sz w:val="22"/>
          <w:szCs w:val="22"/>
        </w:rPr>
        <w:t xml:space="preserve"> a fortalecer la capacidad institucional y el Talento Humano mejorando los procesos, los procedimientos y el desarrollo de competencias que garanticen servicios de inclusión social con oportunidad, calidad y eficiencia; lo cual compromete al Proceso de Gestión del Talento Humano a capacitar, formar, entrenar e incrementar la calidad de servidores constantemente, iniciando dicho proceso desde el mismo momento en que se vinculan a la entidad. De ahí la necesidad de involucrar dentro de su Política de Gestión los procesos de inducción, reinducción, entrenamiento y capacitación en Seguridad y Salud en el Trabajo, como parte de su responsabilidad de garantizar ambientes sanos y seguros, el desarrollo integral como personas y fortalecimiento institucional.</w:t>
      </w:r>
    </w:p>
    <w:p w14:paraId="0CF5855F" w14:textId="77777777" w:rsidR="00E73DA9" w:rsidRDefault="00E73DA9" w:rsidP="0098289F">
      <w:pPr>
        <w:spacing w:line="276" w:lineRule="auto"/>
        <w:ind w:leftChars="0" w:left="0" w:firstLineChars="0" w:firstLine="0"/>
        <w:jc w:val="both"/>
        <w:rPr>
          <w:sz w:val="22"/>
          <w:szCs w:val="22"/>
        </w:rPr>
      </w:pPr>
    </w:p>
    <w:p w14:paraId="420A384C" w14:textId="77777777" w:rsidR="00E73DA9" w:rsidRDefault="0098289F">
      <w:pPr>
        <w:numPr>
          <w:ilvl w:val="0"/>
          <w:numId w:val="1"/>
        </w:numPr>
        <w:pBdr>
          <w:top w:val="nil"/>
          <w:left w:val="nil"/>
          <w:bottom w:val="nil"/>
          <w:right w:val="nil"/>
          <w:between w:val="nil"/>
        </w:pBdr>
        <w:spacing w:before="240" w:after="60" w:line="276" w:lineRule="auto"/>
        <w:ind w:left="0" w:hanging="2"/>
        <w:rPr>
          <w:b/>
          <w:color w:val="000000"/>
          <w:sz w:val="22"/>
          <w:szCs w:val="22"/>
        </w:rPr>
      </w:pPr>
      <w:bookmarkStart w:id="1" w:name="_heading=h.30j0zll" w:colFirst="0" w:colLast="0"/>
      <w:bookmarkEnd w:id="1"/>
      <w:r>
        <w:rPr>
          <w:b/>
          <w:color w:val="000000"/>
          <w:sz w:val="22"/>
          <w:szCs w:val="22"/>
        </w:rPr>
        <w:t>OBJETIVO</w:t>
      </w:r>
    </w:p>
    <w:p w14:paraId="1D1E8A96" w14:textId="77777777" w:rsidR="00E73DA9" w:rsidRDefault="0098289F">
      <w:pPr>
        <w:spacing w:line="276" w:lineRule="auto"/>
        <w:ind w:left="0" w:hanging="2"/>
        <w:jc w:val="both"/>
        <w:rPr>
          <w:sz w:val="22"/>
          <w:szCs w:val="22"/>
        </w:rPr>
      </w:pPr>
      <w:bookmarkStart w:id="2" w:name="_heading=h.1fob9te" w:colFirst="0" w:colLast="0"/>
      <w:bookmarkEnd w:id="2"/>
      <w:r>
        <w:rPr>
          <w:sz w:val="22"/>
          <w:szCs w:val="22"/>
        </w:rPr>
        <w:t>Definir lineamientos para el desarrollo del Programa de Capacitación que permita a los trabajadores y contratistas conocer el sistema de trabajo y ubicarlos en su rol dentro de la Entidad para fortalecer su sentido de pertenencia, autonomía y su seguridad.</w:t>
      </w:r>
    </w:p>
    <w:p w14:paraId="2DFC9F2A" w14:textId="77777777" w:rsidR="0098289F" w:rsidRDefault="0098289F">
      <w:pPr>
        <w:spacing w:line="276" w:lineRule="auto"/>
        <w:ind w:left="0" w:hanging="2"/>
        <w:jc w:val="both"/>
        <w:rPr>
          <w:sz w:val="22"/>
          <w:szCs w:val="22"/>
        </w:rPr>
      </w:pPr>
    </w:p>
    <w:p w14:paraId="02C98097" w14:textId="77777777" w:rsidR="0098289F" w:rsidRDefault="0098289F">
      <w:pPr>
        <w:spacing w:line="276" w:lineRule="auto"/>
        <w:ind w:left="0" w:hanging="2"/>
        <w:jc w:val="both"/>
        <w:rPr>
          <w:sz w:val="22"/>
          <w:szCs w:val="22"/>
        </w:rPr>
      </w:pPr>
    </w:p>
    <w:p w14:paraId="2989CDA4" w14:textId="77777777" w:rsidR="0098289F" w:rsidRDefault="0098289F">
      <w:pPr>
        <w:spacing w:line="276" w:lineRule="auto"/>
        <w:ind w:left="0" w:hanging="2"/>
        <w:jc w:val="both"/>
        <w:rPr>
          <w:sz w:val="22"/>
          <w:szCs w:val="22"/>
        </w:rPr>
      </w:pPr>
    </w:p>
    <w:p w14:paraId="37B76134" w14:textId="77777777" w:rsidR="00E73DA9" w:rsidRDefault="0098289F">
      <w:pPr>
        <w:numPr>
          <w:ilvl w:val="0"/>
          <w:numId w:val="1"/>
        </w:num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GLOSARIO</w:t>
      </w:r>
    </w:p>
    <w:p w14:paraId="1118D106" w14:textId="77777777" w:rsidR="00E73DA9" w:rsidRDefault="00E73DA9">
      <w:pPr>
        <w:spacing w:line="276" w:lineRule="auto"/>
        <w:ind w:left="0" w:hanging="2"/>
        <w:jc w:val="both"/>
        <w:rPr>
          <w:sz w:val="22"/>
          <w:szCs w:val="22"/>
        </w:rPr>
      </w:pPr>
    </w:p>
    <w:p w14:paraId="00179173" w14:textId="77777777" w:rsidR="00E73DA9" w:rsidRDefault="0098289F">
      <w:pPr>
        <w:spacing w:line="276" w:lineRule="auto"/>
        <w:ind w:left="0" w:hanging="2"/>
        <w:jc w:val="both"/>
        <w:rPr>
          <w:sz w:val="22"/>
          <w:szCs w:val="22"/>
        </w:rPr>
      </w:pPr>
      <w:r>
        <w:rPr>
          <w:b/>
          <w:sz w:val="22"/>
          <w:szCs w:val="22"/>
        </w:rPr>
        <w:t>ACCIDENTE DE TRABAJO</w:t>
      </w:r>
      <w:r>
        <w:rPr>
          <w:sz w:val="22"/>
          <w:szCs w:val="22"/>
        </w:rPr>
        <w:t>: Todo suceso repentino que sobrevenga por causa o con ocasión del trabajo, y que produzca en el trabajador una lesión orgánica, una perturbación funcional o psiquiátrica, una invalidez o la muerte.</w:t>
      </w:r>
    </w:p>
    <w:p w14:paraId="23339A15" w14:textId="77777777" w:rsidR="00E73DA9" w:rsidRDefault="0098289F">
      <w:pPr>
        <w:spacing w:line="276" w:lineRule="auto"/>
        <w:ind w:left="0" w:hanging="2"/>
        <w:jc w:val="both"/>
        <w:rPr>
          <w:sz w:val="22"/>
          <w:szCs w:val="22"/>
        </w:rPr>
      </w:pPr>
      <w:r>
        <w:rPr>
          <w:sz w:val="22"/>
          <w:szCs w:val="22"/>
        </w:rPr>
        <w:t>Es también accidente de trabajo aquel que se produce durante la ejecución de órdenes del empleador, o contratante durante la ejecución de una labor bajo su Autoridad, aún fuera del lugar y horas de trabajo.</w:t>
      </w:r>
    </w:p>
    <w:p w14:paraId="0DAADF0A" w14:textId="77777777" w:rsidR="00E73DA9" w:rsidRDefault="0098289F">
      <w:pPr>
        <w:spacing w:line="276" w:lineRule="auto"/>
        <w:ind w:left="0" w:hanging="2"/>
        <w:jc w:val="both"/>
        <w:rPr>
          <w:sz w:val="22"/>
          <w:szCs w:val="22"/>
        </w:rPr>
      </w:pPr>
      <w:r>
        <w:rPr>
          <w:sz w:val="22"/>
          <w:szCs w:val="22"/>
        </w:rPr>
        <w:t>Igualmente se considera accidente de trabajo el que se produzca durante el traslado de los trabajadores o contratistas desde su residencia a los lugares de trabajo o viceversa, cuando el transporte lo suministre el empleador.</w:t>
      </w:r>
    </w:p>
    <w:p w14:paraId="6F3B47B7" w14:textId="77777777" w:rsidR="00E73DA9" w:rsidRDefault="0098289F">
      <w:pPr>
        <w:spacing w:line="276" w:lineRule="auto"/>
        <w:ind w:left="0" w:hanging="2"/>
        <w:jc w:val="both"/>
        <w:rPr>
          <w:sz w:val="22"/>
          <w:szCs w:val="22"/>
        </w:rPr>
      </w:pPr>
      <w:r>
        <w:rPr>
          <w:sz w:val="22"/>
          <w:szCs w:val="22"/>
        </w:rPr>
        <w:t>También se considerará como accidente de trabajo el ocurrido durante el ejercicio de la función sindical, aunque el trabajador se encuentre en permiso sindical siempre que el accidente se produzca en cumplimiento de dicha función.</w:t>
      </w:r>
    </w:p>
    <w:p w14:paraId="503B2374" w14:textId="77777777" w:rsidR="00E73DA9" w:rsidRDefault="0098289F">
      <w:pPr>
        <w:spacing w:line="276" w:lineRule="auto"/>
        <w:ind w:left="0" w:hanging="2"/>
        <w:jc w:val="both"/>
        <w:rPr>
          <w:sz w:val="22"/>
          <w:szCs w:val="22"/>
        </w:rPr>
      </w:pPr>
      <w:r>
        <w:rPr>
          <w:sz w:val="22"/>
          <w:szCs w:val="22"/>
        </w:rPr>
        <w:t>De igual forma se considera accidente de trabajo el que se produzca por la ejecución de actividades recreativas, deportivas o culturales, cuando se actúe por cuenta o en representación del empleador o de la empresa usuaria cuando se trate de trabajadores de empresas de servicios temporales que se encuentren en misión. Decreto 1072 de 2015.</w:t>
      </w:r>
    </w:p>
    <w:p w14:paraId="07CBE93E" w14:textId="77777777" w:rsidR="00E73DA9" w:rsidRDefault="00E73DA9">
      <w:pPr>
        <w:spacing w:line="276" w:lineRule="auto"/>
        <w:ind w:left="0" w:hanging="2"/>
        <w:jc w:val="both"/>
        <w:rPr>
          <w:sz w:val="22"/>
          <w:szCs w:val="22"/>
        </w:rPr>
      </w:pPr>
    </w:p>
    <w:p w14:paraId="34BFA9AB" w14:textId="77777777" w:rsidR="00E73DA9" w:rsidRDefault="0098289F">
      <w:pPr>
        <w:spacing w:line="276" w:lineRule="auto"/>
        <w:ind w:left="0" w:hanging="2"/>
        <w:jc w:val="both"/>
        <w:rPr>
          <w:sz w:val="22"/>
          <w:szCs w:val="22"/>
        </w:rPr>
      </w:pPr>
      <w:r>
        <w:rPr>
          <w:b/>
          <w:sz w:val="22"/>
          <w:szCs w:val="22"/>
        </w:rPr>
        <w:t xml:space="preserve">APRENDIZAJE: </w:t>
      </w:r>
      <w:r>
        <w:rPr>
          <w:sz w:val="22"/>
          <w:szCs w:val="22"/>
        </w:rPr>
        <w:t>Proceso dinámico y permanente mediante el cual el individuo adquiere y/o modifica habilidades, conocimientos y actitudes.</w:t>
      </w:r>
    </w:p>
    <w:p w14:paraId="37DCDD2A" w14:textId="77777777" w:rsidR="00E73DA9" w:rsidRDefault="00E73DA9">
      <w:pPr>
        <w:spacing w:line="276" w:lineRule="auto"/>
        <w:ind w:left="0" w:hanging="2"/>
        <w:jc w:val="both"/>
        <w:rPr>
          <w:sz w:val="22"/>
          <w:szCs w:val="22"/>
        </w:rPr>
      </w:pPr>
    </w:p>
    <w:p w14:paraId="2F1D5825" w14:textId="77777777" w:rsidR="00E73DA9" w:rsidRDefault="0098289F">
      <w:pPr>
        <w:spacing w:line="276" w:lineRule="auto"/>
        <w:ind w:left="0" w:hanging="2"/>
        <w:jc w:val="both"/>
        <w:rPr>
          <w:sz w:val="22"/>
          <w:szCs w:val="22"/>
        </w:rPr>
      </w:pPr>
      <w:r>
        <w:rPr>
          <w:b/>
          <w:sz w:val="22"/>
          <w:szCs w:val="22"/>
        </w:rPr>
        <w:t>CAPACITACIÓN:</w:t>
      </w:r>
      <w:r>
        <w:rPr>
          <w:sz w:val="22"/>
          <w:szCs w:val="22"/>
        </w:rPr>
        <w:t xml:space="preserve"> Consiste en desarrollar las competencias de los trabajadores expuestos y los responsables de aplicar las medidas de control, utilizando metodologías participativas acorde a los estilos de aprendizaje y nivel educacional. </w:t>
      </w:r>
    </w:p>
    <w:p w14:paraId="13CB4CA6" w14:textId="77777777" w:rsidR="00E73DA9" w:rsidRDefault="00E73DA9">
      <w:pPr>
        <w:spacing w:line="276" w:lineRule="auto"/>
        <w:ind w:left="0" w:hanging="2"/>
        <w:jc w:val="both"/>
        <w:rPr>
          <w:sz w:val="22"/>
          <w:szCs w:val="22"/>
        </w:rPr>
      </w:pPr>
    </w:p>
    <w:p w14:paraId="79484189" w14:textId="77777777" w:rsidR="00E73DA9" w:rsidRDefault="0098289F">
      <w:pPr>
        <w:spacing w:line="276" w:lineRule="auto"/>
        <w:ind w:left="0" w:hanging="2"/>
        <w:jc w:val="both"/>
        <w:rPr>
          <w:sz w:val="22"/>
          <w:szCs w:val="22"/>
        </w:rPr>
      </w:pPr>
      <w:r>
        <w:rPr>
          <w:b/>
          <w:sz w:val="22"/>
          <w:szCs w:val="22"/>
        </w:rPr>
        <w:t>COMPETENCIAS:</w:t>
      </w:r>
      <w:r>
        <w:rPr>
          <w:sz w:val="22"/>
          <w:szCs w:val="22"/>
        </w:rPr>
        <w:t xml:space="preserve"> Conjunto de recursos que se ponen en juego al comprometerse en el desempeño cotidiano. Éstas integran conocimientos, habilidades y actitudes que se combinan en el éxito de una tarea.</w:t>
      </w:r>
    </w:p>
    <w:p w14:paraId="64071EAD" w14:textId="77777777" w:rsidR="00E73DA9" w:rsidRDefault="00E73DA9">
      <w:pPr>
        <w:spacing w:line="276" w:lineRule="auto"/>
        <w:ind w:left="0" w:hanging="2"/>
        <w:jc w:val="both"/>
        <w:rPr>
          <w:sz w:val="22"/>
          <w:szCs w:val="22"/>
        </w:rPr>
      </w:pPr>
    </w:p>
    <w:p w14:paraId="0030C112" w14:textId="77777777" w:rsidR="00E73DA9" w:rsidRDefault="0098289F">
      <w:pPr>
        <w:spacing w:line="276" w:lineRule="auto"/>
        <w:ind w:left="0" w:hanging="2"/>
        <w:jc w:val="both"/>
        <w:rPr>
          <w:sz w:val="22"/>
          <w:szCs w:val="22"/>
        </w:rPr>
      </w:pPr>
      <w:r>
        <w:rPr>
          <w:b/>
          <w:sz w:val="22"/>
          <w:szCs w:val="22"/>
        </w:rPr>
        <w:t xml:space="preserve">COMUNICACIÓN: </w:t>
      </w:r>
      <w:r>
        <w:rPr>
          <w:sz w:val="22"/>
          <w:szCs w:val="22"/>
        </w:rPr>
        <w:t xml:space="preserve">La comunicación oral está integrada por palabras, voz y acción, y su fin es transmitir ideas y sentimientos a los participantes. </w:t>
      </w:r>
    </w:p>
    <w:p w14:paraId="696B8A6E" w14:textId="77777777" w:rsidR="00E73DA9" w:rsidRDefault="00E73DA9">
      <w:pPr>
        <w:spacing w:line="276" w:lineRule="auto"/>
        <w:ind w:left="0" w:hanging="2"/>
        <w:jc w:val="both"/>
        <w:rPr>
          <w:sz w:val="22"/>
          <w:szCs w:val="22"/>
        </w:rPr>
      </w:pPr>
    </w:p>
    <w:p w14:paraId="5DAA9552" w14:textId="77777777" w:rsidR="00E73DA9" w:rsidRDefault="0098289F">
      <w:pPr>
        <w:spacing w:line="276" w:lineRule="auto"/>
        <w:ind w:left="0" w:hanging="2"/>
        <w:jc w:val="both"/>
        <w:rPr>
          <w:sz w:val="22"/>
          <w:szCs w:val="22"/>
        </w:rPr>
      </w:pPr>
      <w:r>
        <w:rPr>
          <w:b/>
          <w:sz w:val="22"/>
          <w:szCs w:val="22"/>
        </w:rPr>
        <w:t>CONDICIONES DE SALUD:</w:t>
      </w:r>
      <w:r>
        <w:rPr>
          <w:sz w:val="22"/>
          <w:szCs w:val="22"/>
        </w:rPr>
        <w:t> El conjunto de variables objetivas y de autorreporte de condiciones fisiológicas, psicológicas y socioculturales que determinan el perfil sociodemográfico y de morbilidad de la población trabajadora.</w:t>
      </w:r>
    </w:p>
    <w:p w14:paraId="742F6093" w14:textId="77777777" w:rsidR="00E73DA9" w:rsidRDefault="00E73DA9">
      <w:pPr>
        <w:spacing w:line="276" w:lineRule="auto"/>
        <w:ind w:left="0" w:hanging="2"/>
        <w:jc w:val="both"/>
        <w:rPr>
          <w:sz w:val="22"/>
          <w:szCs w:val="22"/>
        </w:rPr>
      </w:pPr>
    </w:p>
    <w:p w14:paraId="5898D5EC" w14:textId="77777777" w:rsidR="00E73DA9" w:rsidRDefault="0098289F">
      <w:pPr>
        <w:spacing w:line="276" w:lineRule="auto"/>
        <w:ind w:left="0" w:hanging="2"/>
        <w:jc w:val="both"/>
        <w:rPr>
          <w:sz w:val="22"/>
          <w:szCs w:val="22"/>
        </w:rPr>
      </w:pPr>
      <w:r>
        <w:rPr>
          <w:b/>
          <w:sz w:val="22"/>
          <w:szCs w:val="22"/>
        </w:rPr>
        <w:t>CONDICIONES Y MEDIO AMBIENTE DE TRABAJO:</w:t>
      </w:r>
      <w:r>
        <w:rPr>
          <w:sz w:val="22"/>
          <w:szCs w:val="22"/>
        </w:rPr>
        <w:t xml:space="preserve"> Aquellos elementos, agentes o factores que tienen influencia significativa en la generación de riesgos para la seguridad y salud de los trabajadores quedan específicamente incluidos en esta definición, entre otros: </w:t>
      </w:r>
    </w:p>
    <w:p w14:paraId="7A539593" w14:textId="77777777" w:rsidR="00E73DA9" w:rsidRDefault="00E73DA9">
      <w:pPr>
        <w:spacing w:line="276" w:lineRule="auto"/>
        <w:ind w:left="0" w:hanging="2"/>
        <w:jc w:val="both"/>
        <w:rPr>
          <w:sz w:val="22"/>
          <w:szCs w:val="22"/>
        </w:rPr>
      </w:pPr>
    </w:p>
    <w:p w14:paraId="739E163F" w14:textId="77777777" w:rsidR="00E73DA9" w:rsidRDefault="0098289F">
      <w:pPr>
        <w:spacing w:line="276" w:lineRule="auto"/>
        <w:ind w:left="0" w:hanging="2"/>
        <w:jc w:val="both"/>
        <w:rPr>
          <w:sz w:val="22"/>
          <w:szCs w:val="22"/>
        </w:rPr>
      </w:pPr>
      <w:r>
        <w:rPr>
          <w:b/>
          <w:sz w:val="22"/>
          <w:szCs w:val="22"/>
        </w:rPr>
        <w:t>a)</w:t>
      </w:r>
      <w:r>
        <w:rPr>
          <w:sz w:val="22"/>
          <w:szCs w:val="22"/>
        </w:rPr>
        <w:t xml:space="preserve"> Las características generales de los locales, instalaciones, máquinas, equipos, herramientas, materias primas, productos y demás útiles existentes en el lugar de trabajo.</w:t>
      </w:r>
    </w:p>
    <w:p w14:paraId="12C853D1" w14:textId="77777777" w:rsidR="00E73DA9" w:rsidRDefault="0098289F">
      <w:pPr>
        <w:spacing w:line="276" w:lineRule="auto"/>
        <w:ind w:left="0" w:hanging="2"/>
        <w:jc w:val="both"/>
        <w:rPr>
          <w:sz w:val="22"/>
          <w:szCs w:val="22"/>
        </w:rPr>
      </w:pPr>
      <w:r>
        <w:rPr>
          <w:b/>
          <w:sz w:val="22"/>
          <w:szCs w:val="22"/>
        </w:rPr>
        <w:t>b)</w:t>
      </w:r>
      <w:r>
        <w:rPr>
          <w:sz w:val="22"/>
          <w:szCs w:val="22"/>
        </w:rPr>
        <w:t xml:space="preserve"> Los agentes físicos, químicos y biológicos presentes en el ambiente de trabajo y sus correspondientes intensidades, concentraciones o niveles de presencia.</w:t>
      </w:r>
    </w:p>
    <w:p w14:paraId="2A44462E" w14:textId="77777777" w:rsidR="00E73DA9" w:rsidRDefault="0098289F">
      <w:pPr>
        <w:spacing w:line="276" w:lineRule="auto"/>
        <w:ind w:left="0" w:hanging="2"/>
        <w:jc w:val="both"/>
        <w:rPr>
          <w:sz w:val="22"/>
          <w:szCs w:val="22"/>
        </w:rPr>
      </w:pPr>
      <w:r>
        <w:rPr>
          <w:b/>
          <w:sz w:val="22"/>
          <w:szCs w:val="22"/>
        </w:rPr>
        <w:t>c)</w:t>
      </w:r>
      <w:r>
        <w:rPr>
          <w:sz w:val="22"/>
          <w:szCs w:val="22"/>
        </w:rPr>
        <w:t xml:space="preserve"> Los procedimientos para la utilización de los agentes citados en el apartado anterior, que influyan en la generación de riesgos para los trabajadores.</w:t>
      </w:r>
    </w:p>
    <w:p w14:paraId="1845109B" w14:textId="77777777" w:rsidR="00E73DA9" w:rsidRDefault="0098289F">
      <w:pPr>
        <w:spacing w:line="276" w:lineRule="auto"/>
        <w:ind w:left="0" w:hanging="2"/>
        <w:jc w:val="both"/>
        <w:rPr>
          <w:sz w:val="22"/>
          <w:szCs w:val="22"/>
        </w:rPr>
      </w:pPr>
      <w:r>
        <w:rPr>
          <w:b/>
          <w:sz w:val="22"/>
          <w:szCs w:val="22"/>
        </w:rPr>
        <w:t>d)</w:t>
      </w:r>
      <w:r>
        <w:rPr>
          <w:sz w:val="22"/>
          <w:szCs w:val="22"/>
        </w:rPr>
        <w:t xml:space="preserve"> La organización y ordenamiento de las labores, incluidos los factores ergonómicos o biomecánicos y psicosociales.</w:t>
      </w:r>
    </w:p>
    <w:p w14:paraId="2C9ABF22" w14:textId="77777777" w:rsidR="00E73DA9" w:rsidRDefault="00E73DA9">
      <w:pPr>
        <w:spacing w:line="276" w:lineRule="auto"/>
        <w:ind w:left="0" w:hanging="2"/>
        <w:jc w:val="both"/>
        <w:rPr>
          <w:sz w:val="22"/>
          <w:szCs w:val="22"/>
        </w:rPr>
      </w:pPr>
    </w:p>
    <w:p w14:paraId="47A3575D" w14:textId="77777777" w:rsidR="00E73DA9" w:rsidRDefault="0098289F">
      <w:pPr>
        <w:spacing w:line="276" w:lineRule="auto"/>
        <w:ind w:left="0" w:hanging="2"/>
        <w:jc w:val="both"/>
        <w:rPr>
          <w:sz w:val="22"/>
          <w:szCs w:val="22"/>
        </w:rPr>
      </w:pPr>
      <w:r>
        <w:rPr>
          <w:b/>
          <w:sz w:val="22"/>
          <w:szCs w:val="22"/>
        </w:rPr>
        <w:t>ENFERMEDAD LABORAL:</w:t>
      </w:r>
      <w:r>
        <w:rPr>
          <w:sz w:val="22"/>
          <w:szCs w:val="22"/>
        </w:rPr>
        <w:t xml:space="preserve"> La contraída como resultado de la exposición a factores de riesgo inherentes a la actividad laboral o del medio en el que el trabajador se ha visto obligado a trabajar. El Gobierno Nacional, determinará, en forma periódica, las enfermedades que se consideran como laborales y en los casos en que una enfermedad no figure en la tabla de enfermedades laborales, pero se demuestre la relación de causalidad con los factores de riesgo ocupacional será reconocida como enfermedad laboral, conforme lo establecido en las normas legales vigentes.</w:t>
      </w:r>
    </w:p>
    <w:p w14:paraId="605B66B8" w14:textId="77777777" w:rsidR="00E73DA9" w:rsidRDefault="00E73DA9">
      <w:pPr>
        <w:spacing w:line="276" w:lineRule="auto"/>
        <w:ind w:left="0" w:hanging="2"/>
        <w:jc w:val="both"/>
        <w:rPr>
          <w:sz w:val="22"/>
          <w:szCs w:val="22"/>
        </w:rPr>
      </w:pPr>
    </w:p>
    <w:p w14:paraId="2D809C2D" w14:textId="77777777" w:rsidR="00E73DA9" w:rsidRDefault="0098289F">
      <w:pPr>
        <w:spacing w:line="276" w:lineRule="auto"/>
        <w:ind w:left="0" w:hanging="2"/>
        <w:jc w:val="both"/>
        <w:rPr>
          <w:sz w:val="22"/>
          <w:szCs w:val="22"/>
        </w:rPr>
      </w:pPr>
      <w:r>
        <w:rPr>
          <w:b/>
          <w:sz w:val="22"/>
          <w:szCs w:val="22"/>
        </w:rPr>
        <w:t>EMERGENCIA:</w:t>
      </w:r>
      <w:r>
        <w:rPr>
          <w:sz w:val="22"/>
          <w:szCs w:val="22"/>
        </w:rPr>
        <w:t xml:space="preserve"> Es aquella situación de peligro o desastre o la inminencia de este, que afecta el funcionamiento normal de la empresa. Requiere de una reacción inmediata y coordinada de los trabajadores, brigadas de emergencias y primeros auxilios y en algunos casos de otros grupos de apoyo dependiendo de su magnitud.</w:t>
      </w:r>
    </w:p>
    <w:p w14:paraId="39F44370" w14:textId="77777777" w:rsidR="00E73DA9" w:rsidRDefault="00E73DA9">
      <w:pPr>
        <w:spacing w:line="276" w:lineRule="auto"/>
        <w:ind w:left="0" w:hanging="2"/>
        <w:jc w:val="both"/>
        <w:rPr>
          <w:sz w:val="22"/>
          <w:szCs w:val="22"/>
        </w:rPr>
      </w:pPr>
    </w:p>
    <w:p w14:paraId="6ACBF866" w14:textId="77777777" w:rsidR="00E73DA9" w:rsidRDefault="0098289F">
      <w:pPr>
        <w:spacing w:line="276" w:lineRule="auto"/>
        <w:ind w:left="0" w:hanging="2"/>
        <w:jc w:val="both"/>
        <w:rPr>
          <w:sz w:val="22"/>
          <w:szCs w:val="22"/>
        </w:rPr>
      </w:pPr>
      <w:r>
        <w:rPr>
          <w:b/>
          <w:sz w:val="22"/>
          <w:szCs w:val="22"/>
        </w:rPr>
        <w:t>EVALUACIÓN DEL RIESGO</w:t>
      </w:r>
      <w:r>
        <w:rPr>
          <w:sz w:val="22"/>
          <w:szCs w:val="22"/>
        </w:rPr>
        <w:t>: Proceso para determinar el nivel de riesgo asociado al nivel de probabilidad de que dicho riesgo se concrete y al nivel de severidad de las consecuencias de esa concreción.</w:t>
      </w:r>
    </w:p>
    <w:p w14:paraId="2E0563A8" w14:textId="77777777" w:rsidR="00E73DA9" w:rsidRDefault="00E73DA9">
      <w:pPr>
        <w:spacing w:line="276" w:lineRule="auto"/>
        <w:ind w:left="0" w:hanging="2"/>
        <w:jc w:val="both"/>
        <w:rPr>
          <w:sz w:val="22"/>
          <w:szCs w:val="22"/>
        </w:rPr>
      </w:pPr>
    </w:p>
    <w:p w14:paraId="1FCCEE96" w14:textId="77777777" w:rsidR="00E73DA9" w:rsidRDefault="0098289F">
      <w:pPr>
        <w:spacing w:line="276" w:lineRule="auto"/>
        <w:ind w:left="0" w:hanging="2"/>
        <w:jc w:val="both"/>
        <w:rPr>
          <w:sz w:val="22"/>
          <w:szCs w:val="22"/>
        </w:rPr>
      </w:pPr>
      <w:r>
        <w:rPr>
          <w:b/>
          <w:sz w:val="22"/>
          <w:szCs w:val="22"/>
        </w:rPr>
        <w:t xml:space="preserve">IDENTIFICACIÓN DEL PELIGRO: </w:t>
      </w:r>
      <w:r>
        <w:rPr>
          <w:sz w:val="22"/>
          <w:szCs w:val="22"/>
        </w:rPr>
        <w:t>Proceso para establecer si existe un peligro y definir las características de este.</w:t>
      </w:r>
    </w:p>
    <w:p w14:paraId="13E9C012" w14:textId="77777777" w:rsidR="00E73DA9" w:rsidRDefault="00E73DA9">
      <w:pPr>
        <w:spacing w:line="276" w:lineRule="auto"/>
        <w:ind w:left="0" w:hanging="2"/>
        <w:jc w:val="both"/>
        <w:rPr>
          <w:sz w:val="22"/>
          <w:szCs w:val="22"/>
        </w:rPr>
      </w:pPr>
    </w:p>
    <w:p w14:paraId="097A2246" w14:textId="77777777" w:rsidR="00E73DA9" w:rsidRDefault="0098289F">
      <w:pPr>
        <w:spacing w:line="276" w:lineRule="auto"/>
        <w:ind w:left="0" w:hanging="2"/>
        <w:jc w:val="both"/>
        <w:rPr>
          <w:sz w:val="22"/>
          <w:szCs w:val="22"/>
        </w:rPr>
      </w:pPr>
      <w:r>
        <w:rPr>
          <w:b/>
          <w:sz w:val="22"/>
          <w:szCs w:val="22"/>
        </w:rPr>
        <w:t>PELIGRO:</w:t>
      </w:r>
      <w:r>
        <w:rPr>
          <w:sz w:val="22"/>
          <w:szCs w:val="22"/>
        </w:rPr>
        <w:t xml:space="preserve"> Fuente, situación o acto con potencial de causar daño en la salud de los trabajadores, en los equipos o en las instalaciones.</w:t>
      </w:r>
    </w:p>
    <w:p w14:paraId="2D817F98" w14:textId="77777777" w:rsidR="00E73DA9" w:rsidRDefault="00E73DA9">
      <w:pPr>
        <w:spacing w:line="276" w:lineRule="auto"/>
        <w:ind w:left="0" w:hanging="2"/>
        <w:jc w:val="both"/>
        <w:rPr>
          <w:sz w:val="22"/>
          <w:szCs w:val="22"/>
        </w:rPr>
      </w:pPr>
    </w:p>
    <w:p w14:paraId="5C08AB7B" w14:textId="77777777" w:rsidR="00E73DA9" w:rsidRDefault="0098289F">
      <w:pPr>
        <w:spacing w:line="276" w:lineRule="auto"/>
        <w:ind w:left="0" w:hanging="2"/>
        <w:jc w:val="both"/>
        <w:rPr>
          <w:sz w:val="22"/>
          <w:szCs w:val="22"/>
        </w:rPr>
      </w:pPr>
      <w:r>
        <w:rPr>
          <w:b/>
          <w:sz w:val="22"/>
          <w:szCs w:val="22"/>
        </w:rPr>
        <w:t>RIESGO:</w:t>
      </w:r>
      <w:r>
        <w:rPr>
          <w:sz w:val="22"/>
          <w:szCs w:val="22"/>
        </w:rPr>
        <w:t xml:space="preserve"> Combinación de la probabilidad de que ocurra una o más exposiciones o eventos peligrosos y la severidad del daño que puede ser causada por estos.</w:t>
      </w:r>
    </w:p>
    <w:p w14:paraId="53A76F8A" w14:textId="77777777" w:rsidR="00E73DA9" w:rsidRDefault="00E73DA9">
      <w:pPr>
        <w:spacing w:line="276" w:lineRule="auto"/>
        <w:ind w:left="0" w:hanging="2"/>
        <w:jc w:val="both"/>
        <w:rPr>
          <w:sz w:val="22"/>
          <w:szCs w:val="22"/>
        </w:rPr>
      </w:pPr>
    </w:p>
    <w:p w14:paraId="596EE383" w14:textId="77777777" w:rsidR="00E73DA9" w:rsidRDefault="0098289F">
      <w:pPr>
        <w:spacing w:line="276" w:lineRule="auto"/>
        <w:ind w:left="0" w:hanging="2"/>
        <w:jc w:val="both"/>
        <w:rPr>
          <w:sz w:val="22"/>
          <w:szCs w:val="22"/>
        </w:rPr>
      </w:pPr>
      <w:r>
        <w:rPr>
          <w:b/>
          <w:sz w:val="22"/>
          <w:szCs w:val="22"/>
        </w:rPr>
        <w:t>SEGURIDAD Y SALUD EN EL TRABAJO (SST):</w:t>
      </w:r>
      <w:r>
        <w:rPr>
          <w:sz w:val="22"/>
          <w:szCs w:val="22"/>
        </w:rPr>
        <w:t xml:space="preserve"> Es la disciplina que trata de la prevención de las lesiones y enfermedades causadas por las condiciones de trabajo, y de la protección y promoción de la salud de los trabajadores. Tiene por objeto mejorar las condiciones y el medio ambiente de trabajo, así como la salud en el trabajo, que conlleva la promoción y el mantenimiento del bienestar físico, mental y social de los trabajadores en todas las ocupaciones.</w:t>
      </w:r>
    </w:p>
    <w:p w14:paraId="0E1B0564" w14:textId="77777777" w:rsidR="00E73DA9" w:rsidRDefault="00E73DA9">
      <w:pPr>
        <w:spacing w:line="276" w:lineRule="auto"/>
        <w:ind w:left="0" w:hanging="2"/>
        <w:jc w:val="both"/>
        <w:rPr>
          <w:sz w:val="22"/>
          <w:szCs w:val="22"/>
        </w:rPr>
      </w:pPr>
    </w:p>
    <w:p w14:paraId="3DAA76EA" w14:textId="77777777" w:rsidR="00E73DA9" w:rsidRDefault="0098289F">
      <w:pPr>
        <w:spacing w:line="276" w:lineRule="auto"/>
        <w:ind w:left="0" w:hanging="2"/>
        <w:jc w:val="both"/>
        <w:rPr>
          <w:sz w:val="22"/>
          <w:szCs w:val="22"/>
        </w:rPr>
      </w:pPr>
      <w:r>
        <w:rPr>
          <w:b/>
          <w:sz w:val="22"/>
          <w:szCs w:val="22"/>
        </w:rPr>
        <w:t>SISTEMA DE GESTIÓN DE LA SEGURIDAD Y SALUD EN EL TRABAJO (SG-SST):</w:t>
      </w:r>
      <w:r>
        <w:rPr>
          <w:sz w:val="22"/>
          <w:szCs w:val="22"/>
        </w:rPr>
        <w:t xml:space="preserve"> Consiste en el desarrollo de un proceso lógico y por etapas, basado en la mejora continua y que incluye la política, la organización, la planificación, la aplicación, la evaluación, la auditoría y las acciones de mejora con el objetivo de anticipar, reconocer, evaluar y controlar los riesgos que puedan afectar la seguridad y la salud en el trabajo.</w:t>
      </w:r>
    </w:p>
    <w:p w14:paraId="4FA0C194" w14:textId="77777777" w:rsidR="00E73DA9" w:rsidRDefault="00E73DA9">
      <w:pPr>
        <w:spacing w:line="276" w:lineRule="auto"/>
        <w:ind w:left="0" w:hanging="2"/>
        <w:jc w:val="both"/>
        <w:rPr>
          <w:sz w:val="22"/>
          <w:szCs w:val="22"/>
        </w:rPr>
      </w:pPr>
    </w:p>
    <w:p w14:paraId="652F2B0C" w14:textId="77777777" w:rsidR="00E73DA9" w:rsidRDefault="0098289F">
      <w:pPr>
        <w:spacing w:line="276" w:lineRule="auto"/>
        <w:ind w:left="0" w:hanging="2"/>
        <w:jc w:val="both"/>
        <w:rPr>
          <w:sz w:val="22"/>
          <w:szCs w:val="22"/>
        </w:rPr>
      </w:pPr>
      <w:r>
        <w:rPr>
          <w:b/>
          <w:sz w:val="22"/>
          <w:szCs w:val="22"/>
        </w:rPr>
        <w:t>VALORACIÓN DEL RIESGO:</w:t>
      </w:r>
      <w:r>
        <w:rPr>
          <w:sz w:val="22"/>
          <w:szCs w:val="22"/>
        </w:rPr>
        <w:t xml:space="preserve"> Consiste en emitir un juicio sobre la tolerancia o no del riesgo estimado.</w:t>
      </w:r>
    </w:p>
    <w:p w14:paraId="5D9354DB" w14:textId="77777777" w:rsidR="00E73DA9" w:rsidRDefault="00E73DA9">
      <w:pPr>
        <w:spacing w:line="276" w:lineRule="auto"/>
        <w:ind w:left="0" w:hanging="2"/>
        <w:jc w:val="both"/>
        <w:rPr>
          <w:sz w:val="22"/>
          <w:szCs w:val="22"/>
        </w:rPr>
      </w:pPr>
    </w:p>
    <w:p w14:paraId="782B4C2B" w14:textId="77777777" w:rsidR="00E73DA9" w:rsidRDefault="0098289F">
      <w:pPr>
        <w:spacing w:line="276" w:lineRule="auto"/>
        <w:ind w:left="0" w:hanging="2"/>
        <w:jc w:val="both"/>
        <w:rPr>
          <w:sz w:val="22"/>
          <w:szCs w:val="22"/>
        </w:rPr>
      </w:pPr>
      <w:bookmarkStart w:id="3" w:name="_heading=h.3znysh7" w:colFirst="0" w:colLast="0"/>
      <w:bookmarkEnd w:id="3"/>
      <w:r>
        <w:rPr>
          <w:b/>
          <w:sz w:val="22"/>
          <w:szCs w:val="22"/>
        </w:rPr>
        <w:t xml:space="preserve">VIGILANCIA DE LA SALUD EN EL TRABAJO O VIGILANCIA EPIDEMIOLÓGICA DE LA SALUD EN EL TRABAJO: </w:t>
      </w:r>
      <w:r>
        <w:rPr>
          <w:sz w:val="22"/>
          <w:szCs w:val="22"/>
        </w:rPr>
        <w:t xml:space="preserve">Comprende la recopilación, el análisis, la interpretación y la difusión continuada y sistemática de datos a efectos de la prevención. La vigilancia es indispensable para la planificación, ejecución y evaluación de los programas de seguridad y salud en el trabajo, el </w:t>
      </w:r>
      <w:r>
        <w:rPr>
          <w:sz w:val="22"/>
          <w:szCs w:val="22"/>
        </w:rPr>
        <w:lastRenderedPageBreak/>
        <w:t xml:space="preserve">control de los trastornos y lesiones relacionadas con el trabajo y el ausentismo laboral por enfermedad, así como para la protección y promoción de la salud de los trabajadores. </w:t>
      </w:r>
    </w:p>
    <w:p w14:paraId="3015FC11"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 DESARROLLO</w:t>
      </w:r>
    </w:p>
    <w:p w14:paraId="5673E820" w14:textId="2BAF291F" w:rsidR="00E73DA9" w:rsidRDefault="0098289F">
      <w:pPr>
        <w:spacing w:line="276" w:lineRule="auto"/>
        <w:ind w:left="0" w:hanging="2"/>
        <w:jc w:val="both"/>
        <w:rPr>
          <w:sz w:val="22"/>
          <w:szCs w:val="22"/>
        </w:rPr>
      </w:pPr>
      <w:r>
        <w:rPr>
          <w:sz w:val="22"/>
          <w:szCs w:val="22"/>
        </w:rPr>
        <w:t xml:space="preserve">El presente programa aplica a todos los colaboradores de </w:t>
      </w:r>
      <w:r>
        <w:rPr>
          <w:color w:val="000000"/>
          <w:sz w:val="22"/>
          <w:szCs w:val="22"/>
        </w:rPr>
        <w:t>la GOBERNACION DE BOLIVAR. E</w:t>
      </w:r>
      <w:r>
        <w:rPr>
          <w:sz w:val="22"/>
          <w:szCs w:val="22"/>
        </w:rPr>
        <w:t>xtensivo a todos los niveles de la organización incluyendo a trabajadores dependientes, contratistas, trabajadores cooperados, Outsourcing y trabajadores en misión.</w:t>
      </w:r>
    </w:p>
    <w:p w14:paraId="379CE632"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bookmarkStart w:id="4" w:name="_heading=h.2et92p0" w:colFirst="0" w:colLast="0"/>
      <w:bookmarkEnd w:id="4"/>
      <w:r>
        <w:rPr>
          <w:b/>
          <w:color w:val="000000"/>
          <w:sz w:val="22"/>
          <w:szCs w:val="22"/>
        </w:rPr>
        <w:t>4.1 NORMAS DE REFERENCIA</w:t>
      </w:r>
    </w:p>
    <w:p w14:paraId="1937EC73" w14:textId="77777777" w:rsidR="00E73DA9" w:rsidRDefault="00E73DA9">
      <w:pPr>
        <w:spacing w:line="276" w:lineRule="auto"/>
        <w:ind w:left="0" w:hanging="2"/>
        <w:jc w:val="both"/>
        <w:rPr>
          <w:sz w:val="22"/>
          <w:szCs w:val="22"/>
        </w:rPr>
      </w:pPr>
    </w:p>
    <w:p w14:paraId="1176BAEB" w14:textId="77777777" w:rsidR="00E73DA9" w:rsidRDefault="0098289F">
      <w:pPr>
        <w:pBdr>
          <w:top w:val="nil"/>
          <w:left w:val="nil"/>
          <w:bottom w:val="nil"/>
          <w:right w:val="nil"/>
          <w:between w:val="nil"/>
        </w:pBdr>
        <w:spacing w:line="276" w:lineRule="auto"/>
        <w:ind w:left="0" w:hanging="2"/>
        <w:jc w:val="both"/>
        <w:rPr>
          <w:color w:val="000000"/>
          <w:sz w:val="22"/>
          <w:szCs w:val="22"/>
        </w:rPr>
      </w:pPr>
      <w:r>
        <w:rPr>
          <w:b/>
          <w:color w:val="000000"/>
          <w:sz w:val="22"/>
          <w:szCs w:val="22"/>
        </w:rPr>
        <w:t>LEY 9ª de 1979:</w:t>
      </w:r>
      <w:r>
        <w:rPr>
          <w:color w:val="000000"/>
          <w:sz w:val="22"/>
          <w:szCs w:val="22"/>
          <w:highlight w:val="white"/>
        </w:rPr>
        <w:t xml:space="preserve">  </w:t>
      </w:r>
      <w:r>
        <w:rPr>
          <w:color w:val="000000"/>
          <w:sz w:val="22"/>
          <w:szCs w:val="22"/>
        </w:rPr>
        <w:t xml:space="preserve">Artículo 84. Todos los empleadores están obligados a: </w:t>
      </w:r>
    </w:p>
    <w:p w14:paraId="12ED7342" w14:textId="77777777" w:rsidR="00E73DA9" w:rsidRDefault="0098289F">
      <w:pPr>
        <w:spacing w:line="276" w:lineRule="auto"/>
        <w:ind w:left="0" w:hanging="2"/>
        <w:jc w:val="both"/>
        <w:rPr>
          <w:sz w:val="22"/>
          <w:szCs w:val="22"/>
        </w:rPr>
      </w:pPr>
      <w:r>
        <w:rPr>
          <w:b/>
          <w:sz w:val="22"/>
          <w:szCs w:val="22"/>
        </w:rPr>
        <w:t>g)</w:t>
      </w:r>
      <w:r>
        <w:rPr>
          <w:sz w:val="22"/>
          <w:szCs w:val="22"/>
        </w:rPr>
        <w:t xml:space="preserve"> Realizar programas educativos sobre los riesgos para la salud a que estén expuestos los trabajadores y sobre los métodos de su prevención y control.</w:t>
      </w:r>
    </w:p>
    <w:p w14:paraId="3A6B730F" w14:textId="77777777" w:rsidR="00E73DA9" w:rsidRDefault="00E73DA9">
      <w:pPr>
        <w:spacing w:line="276" w:lineRule="auto"/>
        <w:ind w:left="0" w:hanging="2"/>
        <w:jc w:val="both"/>
        <w:rPr>
          <w:sz w:val="22"/>
          <w:szCs w:val="22"/>
        </w:rPr>
      </w:pPr>
    </w:p>
    <w:p w14:paraId="4729D63F" w14:textId="77777777" w:rsidR="00E73DA9" w:rsidRDefault="0098289F">
      <w:pPr>
        <w:pBdr>
          <w:top w:val="nil"/>
          <w:left w:val="nil"/>
          <w:bottom w:val="nil"/>
          <w:right w:val="nil"/>
          <w:between w:val="nil"/>
        </w:pBdr>
        <w:spacing w:line="276" w:lineRule="auto"/>
        <w:ind w:left="0" w:hanging="2"/>
        <w:jc w:val="both"/>
        <w:rPr>
          <w:color w:val="000000"/>
          <w:sz w:val="22"/>
          <w:szCs w:val="22"/>
        </w:rPr>
      </w:pPr>
      <w:r>
        <w:rPr>
          <w:b/>
          <w:color w:val="000000"/>
          <w:sz w:val="22"/>
          <w:szCs w:val="22"/>
        </w:rPr>
        <w:t xml:space="preserve">Resolución 1016 de 1989: </w:t>
      </w:r>
      <w:r>
        <w:rPr>
          <w:color w:val="000000"/>
          <w:sz w:val="22"/>
          <w:szCs w:val="22"/>
        </w:rPr>
        <w:t xml:space="preserve">Artículo 11. 20) Promover, elaborar, desarrollar y evaluar programas de inducción y entrenamiento encaminados a la prevención de riesgos en el trabajo. </w:t>
      </w:r>
    </w:p>
    <w:p w14:paraId="2B0D19E3" w14:textId="77777777" w:rsidR="00E73DA9" w:rsidRDefault="00E73DA9">
      <w:pPr>
        <w:spacing w:line="276" w:lineRule="auto"/>
        <w:ind w:left="0" w:hanging="2"/>
        <w:jc w:val="both"/>
        <w:rPr>
          <w:sz w:val="22"/>
          <w:szCs w:val="22"/>
        </w:rPr>
      </w:pPr>
    </w:p>
    <w:p w14:paraId="30A6DBA1" w14:textId="77777777" w:rsidR="00E73DA9" w:rsidRDefault="0098289F">
      <w:pPr>
        <w:pBdr>
          <w:top w:val="nil"/>
          <w:left w:val="nil"/>
          <w:bottom w:val="nil"/>
          <w:right w:val="nil"/>
          <w:between w:val="nil"/>
        </w:pBdr>
        <w:spacing w:line="276" w:lineRule="auto"/>
        <w:ind w:left="0" w:hanging="2"/>
        <w:jc w:val="both"/>
        <w:rPr>
          <w:color w:val="000000"/>
          <w:sz w:val="22"/>
          <w:szCs w:val="22"/>
        </w:rPr>
      </w:pPr>
      <w:r>
        <w:rPr>
          <w:b/>
          <w:color w:val="000000"/>
          <w:sz w:val="22"/>
          <w:szCs w:val="22"/>
        </w:rPr>
        <w:t xml:space="preserve">Ley 1562 de 2012: </w:t>
      </w:r>
      <w:r>
        <w:rPr>
          <w:color w:val="000000"/>
          <w:sz w:val="22"/>
          <w:szCs w:val="22"/>
        </w:rPr>
        <w:t>Artículo 2. Modifíquese el artículo 13 del Decreto-ley 1295 de 1994, Parágrafo 3°. Para la realización de actividades de prevención, promoción y Salud Ocupacional en general, el trabajador independiente se asimila al trabajador dependiente.</w:t>
      </w:r>
    </w:p>
    <w:p w14:paraId="0C4471E1" w14:textId="77777777" w:rsidR="00E73DA9" w:rsidRDefault="0098289F">
      <w:pPr>
        <w:pBdr>
          <w:top w:val="nil"/>
          <w:left w:val="nil"/>
          <w:bottom w:val="nil"/>
          <w:right w:val="nil"/>
          <w:between w:val="nil"/>
        </w:pBdr>
        <w:spacing w:before="280" w:after="280" w:line="276" w:lineRule="auto"/>
        <w:ind w:left="0" w:hanging="2"/>
        <w:jc w:val="both"/>
        <w:rPr>
          <w:color w:val="000000"/>
          <w:sz w:val="22"/>
          <w:szCs w:val="22"/>
        </w:rPr>
      </w:pPr>
      <w:bookmarkStart w:id="5" w:name="bookmark=id.tyjcwt" w:colFirst="0" w:colLast="0"/>
      <w:bookmarkEnd w:id="5"/>
      <w:r>
        <w:rPr>
          <w:color w:val="000000"/>
          <w:sz w:val="22"/>
          <w:szCs w:val="22"/>
        </w:rPr>
        <w:t xml:space="preserve">Artículo 26. Modifíquese el literal </w:t>
      </w:r>
      <w:hyperlink r:id="rId8" w:anchor="21.g">
        <w:r>
          <w:rPr>
            <w:color w:val="000000"/>
            <w:sz w:val="22"/>
            <w:szCs w:val="22"/>
          </w:rPr>
          <w:t>g</w:t>
        </w:r>
      </w:hyperlink>
      <w:r>
        <w:rPr>
          <w:color w:val="000000"/>
          <w:sz w:val="22"/>
          <w:szCs w:val="22"/>
        </w:rPr>
        <w:t xml:space="preserve">) y adiciónese el </w:t>
      </w:r>
      <w:hyperlink r:id="rId9" w:anchor="21.P.2">
        <w:r>
          <w:rPr>
            <w:color w:val="000000"/>
            <w:sz w:val="22"/>
            <w:szCs w:val="22"/>
          </w:rPr>
          <w:t>parágrafo 2</w:t>
        </w:r>
      </w:hyperlink>
      <w:r>
        <w:rPr>
          <w:color w:val="000000"/>
          <w:sz w:val="22"/>
          <w:szCs w:val="22"/>
        </w:rPr>
        <w:t xml:space="preserve"> al artículo 21 del Decreto número 1295 de 1994 así: g) Facilitar los espacios y tiempos para la capacitación de los trabajadores a su cargo en materia de salud ocupacional y para adelantar los programas de promoción y prevención a cargo de las Administradoras de Riesgos Laborales. </w:t>
      </w:r>
    </w:p>
    <w:p w14:paraId="38D175AB" w14:textId="77777777" w:rsidR="00E73DA9" w:rsidRDefault="0098289F">
      <w:pPr>
        <w:pBdr>
          <w:top w:val="nil"/>
          <w:left w:val="nil"/>
          <w:bottom w:val="nil"/>
          <w:right w:val="nil"/>
          <w:between w:val="nil"/>
        </w:pBdr>
        <w:spacing w:before="280" w:after="280" w:line="276" w:lineRule="auto"/>
        <w:ind w:left="0" w:hanging="2"/>
        <w:jc w:val="both"/>
        <w:rPr>
          <w:color w:val="000000"/>
          <w:sz w:val="22"/>
          <w:szCs w:val="22"/>
        </w:rPr>
      </w:pPr>
      <w:r>
        <w:rPr>
          <w:b/>
          <w:color w:val="000000"/>
          <w:sz w:val="22"/>
          <w:szCs w:val="22"/>
        </w:rPr>
        <w:t>Decreto 1072 de 2015:</w:t>
      </w:r>
    </w:p>
    <w:p w14:paraId="569BEC0C" w14:textId="77777777" w:rsidR="00E73DA9" w:rsidRDefault="0098289F">
      <w:pPr>
        <w:spacing w:line="276" w:lineRule="auto"/>
        <w:ind w:left="0" w:hanging="2"/>
        <w:jc w:val="both"/>
        <w:rPr>
          <w:sz w:val="22"/>
          <w:szCs w:val="22"/>
        </w:rPr>
      </w:pPr>
      <w:r>
        <w:rPr>
          <w:sz w:val="22"/>
          <w:szCs w:val="22"/>
        </w:rPr>
        <w:t xml:space="preserve">Artículo 2.2.4.6.8. Obligaciones de los Empleadores, 9) El empleador debe garantizar la capacitación de los trabajadores en los aspectos de seguridad y salud en el trabajo de acuerdo con las características de la empresa, la identificación de peligros, la evaluación y valoración de riesgos relacionados con su trabajo, incluidas las disposiciones relativas a las situaciones de </w:t>
      </w:r>
      <w:r>
        <w:rPr>
          <w:sz w:val="22"/>
          <w:szCs w:val="22"/>
        </w:rPr>
        <w:lastRenderedPageBreak/>
        <w:t>emergencia, dentro de la jornada laboral de los trabajadores directos o en el desarrollo de la prestación del servicio de los contratistas.</w:t>
      </w:r>
    </w:p>
    <w:p w14:paraId="36BB7AC7" w14:textId="77777777" w:rsidR="00E73DA9" w:rsidRDefault="0098289F">
      <w:pPr>
        <w:pBdr>
          <w:top w:val="nil"/>
          <w:left w:val="nil"/>
          <w:bottom w:val="nil"/>
          <w:right w:val="nil"/>
          <w:between w:val="nil"/>
        </w:pBdr>
        <w:spacing w:before="280" w:after="280" w:line="276" w:lineRule="auto"/>
        <w:ind w:left="0" w:hanging="2"/>
        <w:jc w:val="both"/>
        <w:rPr>
          <w:color w:val="000000"/>
          <w:sz w:val="22"/>
          <w:szCs w:val="22"/>
        </w:rPr>
      </w:pPr>
      <w:r>
        <w:rPr>
          <w:color w:val="000000"/>
          <w:sz w:val="22"/>
          <w:szCs w:val="22"/>
        </w:rPr>
        <w:t>Artículo 2.2.4.6.10.  Responsabilidades de los Trabajadores, 5) Participar en las actividades de capacitación en seguridad y salud en el trabajo definido en el plan de capacitación del SG–SST.</w:t>
      </w:r>
      <w:bookmarkStart w:id="6" w:name="bookmark=id.3dy6vkm" w:colFirst="0" w:colLast="0"/>
      <w:bookmarkEnd w:id="6"/>
    </w:p>
    <w:p w14:paraId="5161E5C8" w14:textId="77777777" w:rsidR="00E73DA9" w:rsidRDefault="0098289F">
      <w:pPr>
        <w:spacing w:line="276" w:lineRule="auto"/>
        <w:ind w:left="0" w:hanging="2"/>
        <w:jc w:val="both"/>
        <w:rPr>
          <w:sz w:val="22"/>
          <w:szCs w:val="22"/>
        </w:rPr>
      </w:pPr>
      <w:r>
        <w:rPr>
          <w:sz w:val="22"/>
          <w:szCs w:val="22"/>
        </w:rPr>
        <w:t xml:space="preserve">Artículo 2.2.4.6.11. Capacitación en seguridad y salud en el trabajo – SST. El empleador o contratante debe definir los requisitos de conocimiento y práctica en seguridad y salud en el trabajo necesarios para sus trabajadores, también debe adoptar y mantener disposiciones para que estos los cumplan en todos los aspectos de la ejecución de sus deberes u obligaciones, con el fin de prevenir accidentes de trabajo y enfermedades laborales. </w:t>
      </w:r>
    </w:p>
    <w:p w14:paraId="33B8FA0E" w14:textId="77777777" w:rsidR="00E73DA9" w:rsidRDefault="00E73DA9">
      <w:pPr>
        <w:spacing w:line="276" w:lineRule="auto"/>
        <w:ind w:left="0" w:hanging="2"/>
        <w:jc w:val="both"/>
        <w:rPr>
          <w:sz w:val="22"/>
          <w:szCs w:val="22"/>
        </w:rPr>
      </w:pPr>
    </w:p>
    <w:p w14:paraId="5A5DC11A" w14:textId="77777777" w:rsidR="00E73DA9" w:rsidRDefault="0098289F">
      <w:pPr>
        <w:spacing w:line="276" w:lineRule="auto"/>
        <w:ind w:left="0" w:hanging="2"/>
        <w:jc w:val="both"/>
        <w:rPr>
          <w:sz w:val="22"/>
          <w:szCs w:val="22"/>
        </w:rPr>
      </w:pPr>
      <w:r>
        <w:rPr>
          <w:sz w:val="22"/>
          <w:szCs w:val="22"/>
        </w:rPr>
        <w:t>Para ello, debe desarrollar un programa de capacitación que proporcione conocimiento para identificar los peligros y controlar los riesgos relacionados con el trabajo, hacerlo extensivo a todos los niveles de la organización incluyendo a trabajadores dependientes, contratistas, trabajadores cooperados y los trabajadores en misión, estar documentado, ser impartido por personal idóneo conforme a la normatividad vigente.</w:t>
      </w:r>
    </w:p>
    <w:p w14:paraId="59C5F05D" w14:textId="77777777" w:rsidR="00E73DA9" w:rsidRDefault="00E73DA9">
      <w:pPr>
        <w:spacing w:line="276" w:lineRule="auto"/>
        <w:ind w:left="0" w:hanging="2"/>
        <w:jc w:val="both"/>
        <w:rPr>
          <w:sz w:val="22"/>
          <w:szCs w:val="22"/>
        </w:rPr>
      </w:pPr>
    </w:p>
    <w:p w14:paraId="19A30B89" w14:textId="77777777" w:rsidR="00E73DA9" w:rsidRDefault="0098289F">
      <w:pPr>
        <w:spacing w:line="276" w:lineRule="auto"/>
        <w:ind w:left="0" w:hanging="2"/>
        <w:jc w:val="both"/>
        <w:rPr>
          <w:sz w:val="22"/>
          <w:szCs w:val="22"/>
        </w:rPr>
      </w:pPr>
      <w:r>
        <w:rPr>
          <w:sz w:val="22"/>
          <w:szCs w:val="22"/>
        </w:rPr>
        <w:t>Parágrafo 1o. El programa de capacitación en seguridad y salud en el trabajo –SST, debe ser revisado mínimo una (1) vez al año, con la participación del Comité Paritario o Vigía de Seguridad y Salud en el Trabajo y la alta dirección de la empresa: con el fin de identificar las acciones de mejora.</w:t>
      </w:r>
    </w:p>
    <w:p w14:paraId="1EFE41E4" w14:textId="77777777" w:rsidR="00E73DA9" w:rsidRDefault="00E73DA9">
      <w:pPr>
        <w:spacing w:line="276" w:lineRule="auto"/>
        <w:ind w:left="0" w:hanging="2"/>
        <w:jc w:val="both"/>
        <w:rPr>
          <w:sz w:val="22"/>
          <w:szCs w:val="22"/>
        </w:rPr>
      </w:pPr>
    </w:p>
    <w:p w14:paraId="1B32875F" w14:textId="77777777" w:rsidR="00E73DA9" w:rsidRDefault="0098289F">
      <w:pPr>
        <w:spacing w:line="276" w:lineRule="auto"/>
        <w:ind w:left="0" w:hanging="2"/>
        <w:jc w:val="both"/>
        <w:rPr>
          <w:sz w:val="22"/>
          <w:szCs w:val="22"/>
        </w:rPr>
      </w:pPr>
      <w:r>
        <w:rPr>
          <w:sz w:val="22"/>
          <w:szCs w:val="22"/>
        </w:rPr>
        <w:t>Parágrafo 2o. El empleador proporcionará a todo trabajador que ingrese por primera vez a la empresa, independiente de su forma de contratación y vinculación y de manera previa al inicio de sus labores, una inducción en los aspectos generales y específicos de las actividades a realizar, que incluya entre otros, la identificación y el control de peligros y riesgos en su trabajo y la prevención de accidentes de trabajo y enfermedades laborales.</w:t>
      </w:r>
    </w:p>
    <w:p w14:paraId="7C7FFC2F" w14:textId="77777777" w:rsidR="00E73DA9" w:rsidRDefault="0098289F">
      <w:pPr>
        <w:pBdr>
          <w:top w:val="nil"/>
          <w:left w:val="nil"/>
          <w:bottom w:val="nil"/>
          <w:right w:val="nil"/>
          <w:between w:val="nil"/>
        </w:pBdr>
        <w:spacing w:before="280" w:after="280" w:line="276" w:lineRule="auto"/>
        <w:ind w:left="0" w:hanging="2"/>
        <w:jc w:val="both"/>
        <w:rPr>
          <w:color w:val="000000"/>
          <w:sz w:val="22"/>
          <w:szCs w:val="22"/>
        </w:rPr>
      </w:pPr>
      <w:r>
        <w:rPr>
          <w:color w:val="000000"/>
          <w:sz w:val="22"/>
          <w:szCs w:val="22"/>
        </w:rPr>
        <w:t xml:space="preserve">Artículo 2.2.4.6.12. El empleador debe mantener disponibles y debidamente actualizados entre otros, los siguientes documentos en relación con el Sistema de Gestión de la Seguridad y Salud en el Trabajo SG-SST: 6) El programa de capacitación anual en seguridad y salud en el trabajo - </w:t>
      </w:r>
      <w:r>
        <w:rPr>
          <w:color w:val="000000"/>
          <w:sz w:val="22"/>
          <w:szCs w:val="22"/>
        </w:rPr>
        <w:lastRenderedPageBreak/>
        <w:t>SST, así como de su cumplimiento incluyendo los soportes de inducción, reinducción y capacitaciones de los trabajadores dependientes, contratistas, cooperados y en misión.</w:t>
      </w:r>
    </w:p>
    <w:p w14:paraId="54FA8B83" w14:textId="77777777" w:rsidR="00E73DA9" w:rsidRDefault="0098289F">
      <w:pPr>
        <w:pBdr>
          <w:top w:val="nil"/>
          <w:left w:val="nil"/>
          <w:bottom w:val="nil"/>
          <w:right w:val="nil"/>
          <w:between w:val="nil"/>
        </w:pBdr>
        <w:spacing w:before="280" w:after="280" w:line="276" w:lineRule="auto"/>
        <w:ind w:left="0" w:hanging="2"/>
        <w:jc w:val="both"/>
        <w:rPr>
          <w:color w:val="000000"/>
          <w:sz w:val="22"/>
          <w:szCs w:val="22"/>
        </w:rPr>
      </w:pPr>
      <w:r>
        <w:rPr>
          <w:color w:val="000000"/>
          <w:sz w:val="22"/>
          <w:szCs w:val="22"/>
        </w:rPr>
        <w:t xml:space="preserve">Artículo 2.2.4.6.13. Conservación de los </w:t>
      </w:r>
      <w:r>
        <w:rPr>
          <w:sz w:val="22"/>
          <w:szCs w:val="22"/>
        </w:rPr>
        <w:t>documentos</w:t>
      </w:r>
      <w:r>
        <w:rPr>
          <w:color w:val="000000"/>
          <w:sz w:val="22"/>
          <w:szCs w:val="22"/>
        </w:rPr>
        <w:t>. El empleador debe conservar los registros y documentos que soportan el Sistema de Gestión de la Seguridad y Salud en el Trabajo SG-SST de manera controlada, garantizando que sean legibles, fácilmente identificables y accesibles, protegidos contra daño, deterioro o pérdida. El responsable del SG-SST tendrá acceso a todos los documentos y registros exceptuando el acceso a las historias clínicas ocupacionales de los trabajadores cuando no tenga perfil de médico especialista en seguridad y salud en el trabajo. La conservación puede hacerse de forma electrónica de conformidad con lo establecido en el presente decreto siempre y cuando se garantice la preservación de la información.</w:t>
      </w:r>
    </w:p>
    <w:p w14:paraId="2AC704EC" w14:textId="77777777" w:rsidR="00E73DA9" w:rsidRDefault="0098289F">
      <w:pPr>
        <w:pBdr>
          <w:top w:val="nil"/>
          <w:left w:val="nil"/>
          <w:bottom w:val="nil"/>
          <w:right w:val="nil"/>
          <w:between w:val="nil"/>
        </w:pBdr>
        <w:spacing w:before="280" w:after="280" w:line="276" w:lineRule="auto"/>
        <w:ind w:left="0" w:hanging="2"/>
        <w:jc w:val="both"/>
        <w:rPr>
          <w:color w:val="000000"/>
          <w:sz w:val="22"/>
          <w:szCs w:val="22"/>
        </w:rPr>
      </w:pPr>
      <w:r>
        <w:rPr>
          <w:color w:val="000000"/>
          <w:sz w:val="22"/>
          <w:szCs w:val="22"/>
        </w:rPr>
        <w:t>Los siguientes documentos y registros deben ser conservados por un periodo mínimo de veinte (20) años, contados a partir del momento en que cese la relación laboral del trabajador con la empresa: 4) Registros de las actividades de capacitación, formación y entrenamiento en seguridad y salud en el trabajo.</w:t>
      </w:r>
    </w:p>
    <w:p w14:paraId="30148D87" w14:textId="77777777" w:rsidR="00E73DA9" w:rsidRDefault="0098289F">
      <w:pPr>
        <w:spacing w:line="276" w:lineRule="auto"/>
        <w:ind w:left="0" w:hanging="2"/>
        <w:jc w:val="both"/>
        <w:rPr>
          <w:sz w:val="22"/>
          <w:szCs w:val="22"/>
        </w:rPr>
      </w:pPr>
      <w:r>
        <w:rPr>
          <w:sz w:val="22"/>
          <w:szCs w:val="22"/>
        </w:rPr>
        <w:t>Artículo 2.2.4.6.16. Evaluación inicial del Sistema de Gestión de la Seguridad y Salud en el Trabajo SG-SST. La evaluación inicial debe incluir, entre otros, los siguientes aspectos: 5) El cumplimiento del programa de capacitación anual, establecido por la empresa, incluyendo la inducción y reinducción para los trabajadores dependientes, cooperados, en misión y contratistas.</w:t>
      </w:r>
    </w:p>
    <w:p w14:paraId="1F864BF0" w14:textId="77777777" w:rsidR="00E73DA9" w:rsidRDefault="0098289F">
      <w:pPr>
        <w:pBdr>
          <w:top w:val="nil"/>
          <w:left w:val="nil"/>
          <w:bottom w:val="nil"/>
          <w:right w:val="nil"/>
          <w:between w:val="nil"/>
        </w:pBdr>
        <w:spacing w:before="280" w:after="280" w:line="276" w:lineRule="auto"/>
        <w:ind w:left="0" w:hanging="2"/>
        <w:jc w:val="both"/>
        <w:rPr>
          <w:color w:val="000000"/>
          <w:sz w:val="22"/>
          <w:szCs w:val="22"/>
        </w:rPr>
      </w:pPr>
      <w:r>
        <w:rPr>
          <w:color w:val="000000"/>
          <w:sz w:val="22"/>
          <w:szCs w:val="22"/>
        </w:rPr>
        <w:t>Artículo 2.2.4.6.20. Indicadores que evalúan la estructura del Sistema de Gestión de la Seguridad y Salud en el Trabajo SG-SST. Para la definición y construcción de los indicadores que evalúan la estructura, el empleador debe considerar entre otros, los siguientes aspectos: 11) La definición de un plan de capacitación en seguridad y salud en el trabajo.</w:t>
      </w:r>
    </w:p>
    <w:p w14:paraId="7E1BEC22" w14:textId="77777777" w:rsidR="00E73DA9" w:rsidRDefault="0098289F">
      <w:pPr>
        <w:pBdr>
          <w:top w:val="nil"/>
          <w:left w:val="nil"/>
          <w:bottom w:val="nil"/>
          <w:right w:val="nil"/>
          <w:between w:val="nil"/>
        </w:pBdr>
        <w:spacing w:before="280" w:after="280" w:line="276" w:lineRule="auto"/>
        <w:ind w:left="0" w:hanging="2"/>
        <w:jc w:val="both"/>
        <w:rPr>
          <w:color w:val="000000"/>
          <w:sz w:val="22"/>
          <w:szCs w:val="22"/>
        </w:rPr>
      </w:pPr>
      <w:r>
        <w:rPr>
          <w:color w:val="000000"/>
          <w:sz w:val="22"/>
          <w:szCs w:val="22"/>
        </w:rPr>
        <w:t>Artículo 2.2.4.6.21. Indicadores que evalúan el proceso del Sistema de Gestión de la Seguridad y Salud en el Trabajo SG-SST. Para la definición y construcción de los indicadores que evalúan el proceso, el empleador debe considerar entre otros: 3) Ejecución del Plan de Capacitación en Seguridad y Salud en el Trabajo.</w:t>
      </w:r>
    </w:p>
    <w:p w14:paraId="103ECC2A" w14:textId="77777777" w:rsidR="00E73DA9" w:rsidRDefault="0098289F">
      <w:pPr>
        <w:pBdr>
          <w:top w:val="nil"/>
          <w:left w:val="nil"/>
          <w:bottom w:val="nil"/>
          <w:right w:val="nil"/>
          <w:between w:val="nil"/>
        </w:pBdr>
        <w:spacing w:before="280" w:after="280" w:line="276" w:lineRule="auto"/>
        <w:ind w:left="0" w:hanging="2"/>
        <w:jc w:val="both"/>
        <w:rPr>
          <w:color w:val="000000"/>
          <w:sz w:val="22"/>
          <w:szCs w:val="22"/>
        </w:rPr>
      </w:pPr>
      <w:bookmarkStart w:id="7" w:name="_heading=h.1t3h5sf" w:colFirst="0" w:colLast="0"/>
      <w:bookmarkEnd w:id="7"/>
      <w:r>
        <w:rPr>
          <w:color w:val="000000"/>
          <w:sz w:val="22"/>
          <w:szCs w:val="22"/>
        </w:rPr>
        <w:lastRenderedPageBreak/>
        <w:t>Artículo 2.2.4.6.35. Capacitación obligatoria. Los responsables de la ejecución de los Sistema de Gestión de la Seguridad y Salud en el Trabajo (SG-SST), deberán realizar el curso de capacitación virtual de cincuenta (50) horas sobre el Sistema de Gestión de la Seguridad y Salud en el Trabajo (SG-SST) que defina el Ministerio del Trabajo en desarrollo de las acciones señaladas en el literal a) del artículo 12 de la Ley 1562 de 2012, y obtener el certificado de aprobación de este.</w:t>
      </w:r>
    </w:p>
    <w:p w14:paraId="542B2BD1"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4.2 METODOLOGÍA</w:t>
      </w:r>
    </w:p>
    <w:p w14:paraId="173CD27C" w14:textId="77777777" w:rsidR="00E73DA9" w:rsidRDefault="00E73DA9">
      <w:pPr>
        <w:ind w:left="0" w:hanging="2"/>
      </w:pPr>
    </w:p>
    <w:p w14:paraId="1363A58F" w14:textId="77777777" w:rsidR="00E73DA9" w:rsidRDefault="0098289F">
      <w:pPr>
        <w:pBdr>
          <w:top w:val="nil"/>
          <w:left w:val="nil"/>
          <w:bottom w:val="nil"/>
          <w:right w:val="nil"/>
          <w:between w:val="nil"/>
        </w:pBdr>
        <w:spacing w:line="276" w:lineRule="auto"/>
        <w:ind w:left="0" w:hanging="2"/>
        <w:jc w:val="both"/>
        <w:rPr>
          <w:color w:val="000000"/>
          <w:sz w:val="22"/>
          <w:szCs w:val="22"/>
        </w:rPr>
      </w:pPr>
      <w:r>
        <w:rPr>
          <w:color w:val="000000"/>
          <w:sz w:val="22"/>
          <w:szCs w:val="22"/>
        </w:rPr>
        <w:t xml:space="preserve">El aprendizaje y la enseñanza enfocados hacia la prevención presentan cuestiones abiertas y resultados críticos, es decir, un entorno de diálogo y estrecho entendimiento, motivando propuestas que </w:t>
      </w:r>
      <w:r>
        <w:rPr>
          <w:sz w:val="22"/>
          <w:szCs w:val="22"/>
        </w:rPr>
        <w:t>inciden</w:t>
      </w:r>
      <w:r>
        <w:rPr>
          <w:color w:val="000000"/>
          <w:sz w:val="22"/>
          <w:szCs w:val="22"/>
        </w:rPr>
        <w:t xml:space="preserve"> favorablemente en factores determinantes en estos procesos. Uno de tales factores, identificado por varios autores, es el de la calidad del aprendizaje, abogando a favor de un aprendizaje con mayor énfasis en la adquisición consciente de una estructura cognitiva o esquema conceptual en que se relacionen adecuadamente los diferentes conceptos que se han de fomentar desde un punto de vista preventivo.</w:t>
      </w:r>
    </w:p>
    <w:p w14:paraId="70D30F80" w14:textId="77777777" w:rsidR="00E73DA9" w:rsidRDefault="00E73DA9">
      <w:pPr>
        <w:pBdr>
          <w:top w:val="nil"/>
          <w:left w:val="nil"/>
          <w:bottom w:val="nil"/>
          <w:right w:val="nil"/>
          <w:between w:val="nil"/>
        </w:pBdr>
        <w:spacing w:line="276" w:lineRule="auto"/>
        <w:ind w:left="0" w:hanging="2"/>
        <w:jc w:val="both"/>
        <w:rPr>
          <w:color w:val="000000"/>
          <w:sz w:val="22"/>
          <w:szCs w:val="22"/>
        </w:rPr>
      </w:pPr>
    </w:p>
    <w:p w14:paraId="6C069650" w14:textId="77777777" w:rsidR="00E73DA9" w:rsidRDefault="0098289F">
      <w:pPr>
        <w:pBdr>
          <w:top w:val="nil"/>
          <w:left w:val="nil"/>
          <w:bottom w:val="nil"/>
          <w:right w:val="nil"/>
          <w:between w:val="nil"/>
        </w:pBdr>
        <w:spacing w:line="276" w:lineRule="auto"/>
        <w:ind w:left="0" w:hanging="2"/>
        <w:jc w:val="both"/>
        <w:rPr>
          <w:color w:val="000000"/>
          <w:sz w:val="22"/>
          <w:szCs w:val="22"/>
        </w:rPr>
      </w:pPr>
      <w:r>
        <w:rPr>
          <w:color w:val="000000"/>
          <w:sz w:val="22"/>
          <w:szCs w:val="22"/>
        </w:rPr>
        <w:t>Desde esta perspectiva, el diseño y el desarrollo de un medio eficaz es considerado siempre desde un enfoque constructivista, como una herramienta didáctica útil para promover la adquisición de una estructura cognitiva adecuada y dirigida hacia la internalización de una cultura preventiva.</w:t>
      </w:r>
    </w:p>
    <w:p w14:paraId="53C15BCB" w14:textId="77777777" w:rsidR="00E73DA9" w:rsidRDefault="00E73DA9">
      <w:pPr>
        <w:pBdr>
          <w:top w:val="nil"/>
          <w:left w:val="nil"/>
          <w:bottom w:val="nil"/>
          <w:right w:val="nil"/>
          <w:between w:val="nil"/>
        </w:pBdr>
        <w:spacing w:line="276" w:lineRule="auto"/>
        <w:ind w:left="0" w:hanging="2"/>
        <w:jc w:val="both"/>
        <w:rPr>
          <w:color w:val="000000"/>
          <w:sz w:val="22"/>
          <w:szCs w:val="22"/>
        </w:rPr>
      </w:pPr>
    </w:p>
    <w:p w14:paraId="3BEB67C4" w14:textId="77777777" w:rsidR="00E73DA9" w:rsidRDefault="0098289F">
      <w:pPr>
        <w:spacing w:line="276" w:lineRule="auto"/>
        <w:ind w:left="0" w:hanging="2"/>
        <w:jc w:val="both"/>
        <w:rPr>
          <w:sz w:val="22"/>
          <w:szCs w:val="22"/>
        </w:rPr>
      </w:pPr>
      <w:r>
        <w:rPr>
          <w:sz w:val="22"/>
          <w:szCs w:val="22"/>
        </w:rPr>
        <w:t xml:space="preserve">Algunas estrategias que se aplicaran en las capacitaciones para incentivar la participación de todos los colaboradores son: </w:t>
      </w:r>
    </w:p>
    <w:p w14:paraId="50F8AF0E" w14:textId="77777777" w:rsidR="00E73DA9" w:rsidRDefault="00E73DA9">
      <w:pPr>
        <w:pBdr>
          <w:top w:val="nil"/>
          <w:left w:val="nil"/>
          <w:bottom w:val="nil"/>
          <w:right w:val="nil"/>
          <w:between w:val="nil"/>
        </w:pBdr>
        <w:spacing w:line="276" w:lineRule="auto"/>
        <w:ind w:left="0" w:hanging="2"/>
        <w:jc w:val="both"/>
        <w:rPr>
          <w:color w:val="000000"/>
          <w:sz w:val="22"/>
          <w:szCs w:val="22"/>
        </w:rPr>
      </w:pPr>
    </w:p>
    <w:p w14:paraId="6F6098A8" w14:textId="77777777" w:rsidR="00E73DA9" w:rsidRDefault="0098289F">
      <w:pPr>
        <w:pBdr>
          <w:top w:val="nil"/>
          <w:left w:val="nil"/>
          <w:bottom w:val="nil"/>
          <w:right w:val="nil"/>
          <w:between w:val="nil"/>
        </w:pBdr>
        <w:spacing w:line="276" w:lineRule="auto"/>
        <w:ind w:left="0" w:hanging="2"/>
        <w:jc w:val="both"/>
        <w:rPr>
          <w:color w:val="000000"/>
          <w:sz w:val="22"/>
          <w:szCs w:val="22"/>
        </w:rPr>
      </w:pPr>
      <w:r>
        <w:rPr>
          <w:color w:val="000000"/>
          <w:sz w:val="22"/>
          <w:szCs w:val="22"/>
        </w:rPr>
        <w:t xml:space="preserve">Utilizar imágenes o ejercicios reales que se </w:t>
      </w:r>
      <w:r>
        <w:rPr>
          <w:sz w:val="22"/>
          <w:szCs w:val="22"/>
        </w:rPr>
        <w:t>asocian</w:t>
      </w:r>
      <w:r>
        <w:rPr>
          <w:color w:val="000000"/>
          <w:sz w:val="22"/>
          <w:szCs w:val="22"/>
        </w:rPr>
        <w:t xml:space="preserve"> al trabajo y peligros cotidianos. Esto incentiva la participación de cualquier trabajador, en especial si entre ellos existen personas con menor nivel educacional, con discapacidad intelectual y/o problemas de atención.</w:t>
      </w:r>
    </w:p>
    <w:p w14:paraId="67CD4670" w14:textId="77777777" w:rsidR="00E73DA9" w:rsidRDefault="00E73DA9">
      <w:pPr>
        <w:pBdr>
          <w:top w:val="nil"/>
          <w:left w:val="nil"/>
          <w:bottom w:val="nil"/>
          <w:right w:val="nil"/>
          <w:between w:val="nil"/>
        </w:pBdr>
        <w:spacing w:line="276" w:lineRule="auto"/>
        <w:ind w:left="0" w:hanging="2"/>
        <w:jc w:val="both"/>
        <w:rPr>
          <w:color w:val="000000"/>
          <w:sz w:val="22"/>
          <w:szCs w:val="22"/>
        </w:rPr>
      </w:pPr>
    </w:p>
    <w:p w14:paraId="4914159F" w14:textId="77777777" w:rsidR="00E73DA9" w:rsidRDefault="0098289F">
      <w:pPr>
        <w:pBdr>
          <w:top w:val="nil"/>
          <w:left w:val="nil"/>
          <w:bottom w:val="nil"/>
          <w:right w:val="nil"/>
          <w:between w:val="nil"/>
        </w:pBdr>
        <w:spacing w:line="276" w:lineRule="auto"/>
        <w:ind w:left="0" w:hanging="2"/>
        <w:jc w:val="both"/>
        <w:rPr>
          <w:color w:val="000000"/>
          <w:sz w:val="22"/>
          <w:szCs w:val="22"/>
        </w:rPr>
      </w:pPr>
      <w:r>
        <w:rPr>
          <w:color w:val="000000"/>
          <w:sz w:val="22"/>
          <w:szCs w:val="22"/>
        </w:rPr>
        <w:t xml:space="preserve">Incorporar el aprendizaje basado en problemas. Redactar una situación real de riesgo identificada por los trabajadores. A partir de ella solicitar el análisis y respuesta a preguntas referentes al tema. </w:t>
      </w:r>
    </w:p>
    <w:p w14:paraId="228E53EC" w14:textId="77777777" w:rsidR="00E73DA9" w:rsidRDefault="00E73DA9">
      <w:pPr>
        <w:pBdr>
          <w:top w:val="nil"/>
          <w:left w:val="nil"/>
          <w:bottom w:val="nil"/>
          <w:right w:val="nil"/>
          <w:between w:val="nil"/>
        </w:pBdr>
        <w:spacing w:line="276" w:lineRule="auto"/>
        <w:ind w:left="0" w:hanging="2"/>
        <w:jc w:val="both"/>
        <w:rPr>
          <w:color w:val="000000"/>
          <w:sz w:val="22"/>
          <w:szCs w:val="22"/>
        </w:rPr>
      </w:pPr>
    </w:p>
    <w:p w14:paraId="4936526F" w14:textId="77777777" w:rsidR="00E73DA9" w:rsidRDefault="0098289F">
      <w:pPr>
        <w:pBdr>
          <w:top w:val="nil"/>
          <w:left w:val="nil"/>
          <w:bottom w:val="nil"/>
          <w:right w:val="nil"/>
          <w:between w:val="nil"/>
        </w:pBdr>
        <w:spacing w:line="276" w:lineRule="auto"/>
        <w:ind w:left="0" w:hanging="2"/>
        <w:jc w:val="both"/>
        <w:rPr>
          <w:color w:val="000000"/>
          <w:sz w:val="22"/>
          <w:szCs w:val="22"/>
        </w:rPr>
      </w:pPr>
      <w:r>
        <w:rPr>
          <w:color w:val="000000"/>
          <w:sz w:val="22"/>
          <w:szCs w:val="22"/>
        </w:rPr>
        <w:lastRenderedPageBreak/>
        <w:t>Aplicar estrategias de educación popular. Propiciar que den su opinión respecto a las formas de solucionar eventos de riesgo, que compartan experiencias importantes que hayan vivido y expresen soluciones diferentes o formas de incentivar la prevención. Esto puede ser muy adecuado para desarrollar trabajos en pequeños grupos.</w:t>
      </w:r>
    </w:p>
    <w:p w14:paraId="44055406" w14:textId="77777777" w:rsidR="00E73DA9" w:rsidRDefault="00E73DA9">
      <w:pPr>
        <w:pBdr>
          <w:top w:val="nil"/>
          <w:left w:val="nil"/>
          <w:bottom w:val="nil"/>
          <w:right w:val="nil"/>
          <w:between w:val="nil"/>
        </w:pBdr>
        <w:spacing w:line="276" w:lineRule="auto"/>
        <w:ind w:left="0" w:hanging="2"/>
        <w:jc w:val="both"/>
        <w:rPr>
          <w:color w:val="000000"/>
          <w:sz w:val="22"/>
          <w:szCs w:val="22"/>
        </w:rPr>
      </w:pPr>
    </w:p>
    <w:p w14:paraId="1B755302" w14:textId="77777777" w:rsidR="00E73DA9" w:rsidRDefault="0098289F">
      <w:pPr>
        <w:pBdr>
          <w:top w:val="nil"/>
          <w:left w:val="nil"/>
          <w:bottom w:val="nil"/>
          <w:right w:val="nil"/>
          <w:between w:val="nil"/>
        </w:pBdr>
        <w:spacing w:line="276" w:lineRule="auto"/>
        <w:ind w:left="0" w:hanging="2"/>
        <w:jc w:val="both"/>
        <w:rPr>
          <w:color w:val="000000"/>
          <w:sz w:val="22"/>
          <w:szCs w:val="22"/>
        </w:rPr>
      </w:pPr>
      <w:r>
        <w:rPr>
          <w:color w:val="000000"/>
          <w:sz w:val="22"/>
          <w:szCs w:val="22"/>
        </w:rPr>
        <w:t xml:space="preserve">Verificar que todos puedan participar en las actividades de la capacitación. </w:t>
      </w:r>
    </w:p>
    <w:p w14:paraId="7EFE2B9F" w14:textId="77777777" w:rsidR="00E73DA9" w:rsidRDefault="0098289F">
      <w:pPr>
        <w:pBdr>
          <w:top w:val="nil"/>
          <w:left w:val="nil"/>
          <w:bottom w:val="nil"/>
          <w:right w:val="nil"/>
          <w:between w:val="nil"/>
        </w:pBdr>
        <w:spacing w:line="276" w:lineRule="auto"/>
        <w:ind w:left="0" w:hanging="2"/>
        <w:jc w:val="both"/>
        <w:rPr>
          <w:color w:val="000000"/>
          <w:sz w:val="22"/>
          <w:szCs w:val="22"/>
        </w:rPr>
      </w:pPr>
      <w:r>
        <w:rPr>
          <w:color w:val="000000"/>
          <w:sz w:val="22"/>
          <w:szCs w:val="22"/>
        </w:rPr>
        <w:t xml:space="preserve">Considerar las necesidades específicas de cada grupo. </w:t>
      </w:r>
    </w:p>
    <w:p w14:paraId="77DC5FEE" w14:textId="77777777" w:rsidR="00E73DA9" w:rsidRDefault="00E73DA9">
      <w:pPr>
        <w:spacing w:line="276" w:lineRule="auto"/>
        <w:ind w:left="0" w:hanging="2"/>
        <w:jc w:val="both"/>
        <w:rPr>
          <w:sz w:val="22"/>
          <w:szCs w:val="22"/>
        </w:rPr>
      </w:pPr>
    </w:p>
    <w:p w14:paraId="5C592053" w14:textId="77777777" w:rsidR="00E73DA9" w:rsidRDefault="0098289F">
      <w:pPr>
        <w:spacing w:line="276" w:lineRule="auto"/>
        <w:ind w:left="0" w:hanging="2"/>
        <w:jc w:val="both"/>
        <w:rPr>
          <w:sz w:val="22"/>
          <w:szCs w:val="22"/>
        </w:rPr>
      </w:pPr>
      <w:r>
        <w:rPr>
          <w:sz w:val="22"/>
          <w:szCs w:val="22"/>
        </w:rPr>
        <w:t xml:space="preserve">Dentro de la estrategia para desarrollar el presente programa se podrá utilizar, entre otras, plataforma virtual, charlas magistrales, talleres, intervenciones individuales y colectivas. </w:t>
      </w:r>
    </w:p>
    <w:p w14:paraId="6239FB86" w14:textId="77777777" w:rsidR="00E73DA9" w:rsidRDefault="00E73DA9">
      <w:pPr>
        <w:spacing w:line="276" w:lineRule="auto"/>
        <w:ind w:left="0" w:hanging="2"/>
        <w:jc w:val="both"/>
        <w:rPr>
          <w:sz w:val="22"/>
          <w:szCs w:val="22"/>
        </w:rPr>
      </w:pPr>
    </w:p>
    <w:p w14:paraId="657328AE" w14:textId="10557771" w:rsidR="00E73DA9" w:rsidRDefault="0098289F">
      <w:pPr>
        <w:spacing w:line="276" w:lineRule="auto"/>
        <w:ind w:left="0" w:hanging="2"/>
        <w:jc w:val="both"/>
        <w:rPr>
          <w:sz w:val="22"/>
          <w:szCs w:val="22"/>
        </w:rPr>
      </w:pPr>
      <w:r>
        <w:rPr>
          <w:noProof/>
          <w:lang w:val="es-CO" w:eastAsia="es-CO"/>
        </w:rPr>
        <mc:AlternateContent>
          <mc:Choice Requires="wpg">
            <w:drawing>
              <wp:anchor distT="0" distB="0" distL="114300" distR="114300" simplePos="0" relativeHeight="251658240" behindDoc="0" locked="0" layoutInCell="1" hidden="0" allowOverlap="1" wp14:anchorId="6BB90BDA" wp14:editId="4B684263">
                <wp:simplePos x="0" y="0"/>
                <wp:positionH relativeFrom="column">
                  <wp:posOffset>1377315</wp:posOffset>
                </wp:positionH>
                <wp:positionV relativeFrom="paragraph">
                  <wp:posOffset>238762</wp:posOffset>
                </wp:positionV>
                <wp:extent cx="2468880" cy="1668780"/>
                <wp:effectExtent l="0" t="0" r="0" b="0"/>
                <wp:wrapNone/>
                <wp:docPr id="4" name="Grupo 4"/>
                <wp:cNvGraphicFramePr/>
                <a:graphic xmlns:a="http://schemas.openxmlformats.org/drawingml/2006/main">
                  <a:graphicData uri="http://schemas.microsoft.com/office/word/2010/wordprocessingGroup">
                    <wpg:wgp>
                      <wpg:cNvGrpSpPr/>
                      <wpg:grpSpPr>
                        <a:xfrm>
                          <a:off x="0" y="0"/>
                          <a:ext cx="2468880" cy="1668780"/>
                          <a:chOff x="3826425" y="2625250"/>
                          <a:chExt cx="3039150" cy="2309500"/>
                        </a:xfrm>
                      </wpg:grpSpPr>
                      <wpg:grpSp>
                        <wpg:cNvPr id="1440846886" name="Grupo 1440846886"/>
                        <wpg:cNvGrpSpPr/>
                        <wpg:grpSpPr>
                          <a:xfrm>
                            <a:off x="3826445" y="2625253"/>
                            <a:ext cx="3039110" cy="2309495"/>
                            <a:chOff x="3826425" y="2625250"/>
                            <a:chExt cx="3039150" cy="2309500"/>
                          </a:xfrm>
                        </wpg:grpSpPr>
                        <wps:wsp>
                          <wps:cNvPr id="1640966450" name="Rectángulo 1640966450"/>
                          <wps:cNvSpPr/>
                          <wps:spPr>
                            <a:xfrm>
                              <a:off x="3826425" y="2625250"/>
                              <a:ext cx="3039150" cy="2309500"/>
                            </a:xfrm>
                            <a:prstGeom prst="rect">
                              <a:avLst/>
                            </a:prstGeom>
                            <a:noFill/>
                            <a:ln>
                              <a:noFill/>
                            </a:ln>
                          </wps:spPr>
                          <wps:txbx>
                            <w:txbxContent>
                              <w:p w14:paraId="55569DB5" w14:textId="77777777" w:rsidR="00E73DA9" w:rsidRDefault="00E73DA9">
                                <w:pPr>
                                  <w:spacing w:line="240" w:lineRule="auto"/>
                                  <w:ind w:left="0" w:hanging="2"/>
                                </w:pPr>
                              </w:p>
                            </w:txbxContent>
                          </wps:txbx>
                          <wps:bodyPr spcFirstLastPara="1" wrap="square" lIns="91425" tIns="91425" rIns="91425" bIns="91425" anchor="ctr" anchorCtr="0">
                            <a:noAutofit/>
                          </wps:bodyPr>
                        </wps:wsp>
                        <wpg:grpSp>
                          <wpg:cNvPr id="897990328" name="Grupo 897990328"/>
                          <wpg:cNvGrpSpPr/>
                          <wpg:grpSpPr>
                            <a:xfrm>
                              <a:off x="3826445" y="2625253"/>
                              <a:ext cx="3039110" cy="2309495"/>
                              <a:chOff x="1808" y="4423"/>
                              <a:chExt cx="8640" cy="8640"/>
                            </a:xfrm>
                          </wpg:grpSpPr>
                          <wps:wsp>
                            <wps:cNvPr id="247509785" name="Rectángulo 247509785"/>
                            <wps:cNvSpPr/>
                            <wps:spPr>
                              <a:xfrm>
                                <a:off x="1808" y="4423"/>
                                <a:ext cx="8625" cy="8625"/>
                              </a:xfrm>
                              <a:prstGeom prst="rect">
                                <a:avLst/>
                              </a:prstGeom>
                              <a:noFill/>
                              <a:ln>
                                <a:noFill/>
                              </a:ln>
                            </wps:spPr>
                            <wps:txbx>
                              <w:txbxContent>
                                <w:p w14:paraId="7E32EB42" w14:textId="77777777" w:rsidR="00E73DA9" w:rsidRDefault="00E73DA9">
                                  <w:pPr>
                                    <w:spacing w:line="240" w:lineRule="auto"/>
                                    <w:ind w:left="0" w:hanging="2"/>
                                  </w:pPr>
                                </w:p>
                              </w:txbxContent>
                            </wps:txbx>
                            <wps:bodyPr spcFirstLastPara="1" wrap="square" lIns="91425" tIns="91425" rIns="91425" bIns="91425" anchor="ctr" anchorCtr="0">
                              <a:noAutofit/>
                            </wps:bodyPr>
                          </wps:wsp>
                          <wps:wsp>
                            <wps:cNvPr id="1916837967" name="Rectángulo 1916837967"/>
                            <wps:cNvSpPr/>
                            <wps:spPr>
                              <a:xfrm>
                                <a:off x="1808" y="4423"/>
                                <a:ext cx="8640" cy="8640"/>
                              </a:xfrm>
                              <a:prstGeom prst="rect">
                                <a:avLst/>
                              </a:prstGeom>
                              <a:noFill/>
                              <a:ln>
                                <a:noFill/>
                              </a:ln>
                            </wps:spPr>
                            <wps:txbx>
                              <w:txbxContent>
                                <w:p w14:paraId="58B6647A" w14:textId="77777777" w:rsidR="00E73DA9" w:rsidRDefault="00E73DA9">
                                  <w:pPr>
                                    <w:spacing w:line="240" w:lineRule="auto"/>
                                    <w:ind w:left="0" w:hanging="2"/>
                                  </w:pPr>
                                </w:p>
                              </w:txbxContent>
                            </wps:txbx>
                            <wps:bodyPr spcFirstLastPara="1" wrap="square" lIns="91425" tIns="91425" rIns="91425" bIns="91425" anchor="ctr" anchorCtr="0">
                              <a:noAutofit/>
                            </wps:bodyPr>
                          </wps:wsp>
                          <wps:wsp>
                            <wps:cNvPr id="1435443664" name="Forma libre: forma 1435443664"/>
                            <wps:cNvSpPr/>
                            <wps:spPr>
                              <a:xfrm>
                                <a:off x="3631" y="5071"/>
                                <a:ext cx="4994" cy="4994"/>
                              </a:xfrm>
                              <a:custGeom>
                                <a:avLst/>
                                <a:gdLst/>
                                <a:ahLst/>
                                <a:cxnLst/>
                                <a:rect l="l" t="t" r="r" b="b"/>
                                <a:pathLst>
                                  <a:path w="120000" h="120000" extrusionOk="0">
                                    <a:moveTo>
                                      <a:pt x="5699" y="60000"/>
                                    </a:moveTo>
                                    <a:lnTo>
                                      <a:pt x="5699" y="60000"/>
                                    </a:lnTo>
                                    <a:cubicBezTo>
                                      <a:pt x="5699" y="34898"/>
                                      <a:pt x="24079" y="13307"/>
                                      <a:pt x="49558" y="8480"/>
                                    </a:cubicBezTo>
                                    <a:cubicBezTo>
                                      <a:pt x="75037" y="3653"/>
                                      <a:pt x="100485" y="16939"/>
                                      <a:pt x="110284" y="40185"/>
                                    </a:cubicBezTo>
                                    <a:lnTo>
                                      <a:pt x="115035" y="40185"/>
                                    </a:lnTo>
                                    <a:lnTo>
                                      <a:pt x="108601" y="60000"/>
                                    </a:lnTo>
                                    <a:lnTo>
                                      <a:pt x="92237" y="40185"/>
                                    </a:lnTo>
                                    <a:lnTo>
                                      <a:pt x="96423" y="40185"/>
                                    </a:lnTo>
                                    <a:lnTo>
                                      <a:pt x="96423" y="40185"/>
                                    </a:lnTo>
                                    <a:cubicBezTo>
                                      <a:pt x="86302" y="25971"/>
                                      <a:pt x="66628" y="19343"/>
                                      <a:pt x="48212" y="23943"/>
                                    </a:cubicBezTo>
                                    <a:cubicBezTo>
                                      <a:pt x="29795" y="28544"/>
                                      <a:pt x="17098" y="43258"/>
                                      <a:pt x="17098" y="60000"/>
                                    </a:cubicBezTo>
                                    <a:close/>
                                  </a:path>
                                </a:pathLst>
                              </a:custGeom>
                              <a:solidFill>
                                <a:srgbClr val="D99594"/>
                              </a:solidFill>
                              <a:ln w="9525" cap="flat" cmpd="sng">
                                <a:solidFill>
                                  <a:srgbClr val="000000"/>
                                </a:solidFill>
                                <a:prstDash val="solid"/>
                                <a:miter lim="800000"/>
                                <a:headEnd type="none" w="sm" len="sm"/>
                                <a:tailEnd type="none" w="sm" len="sm"/>
                              </a:ln>
                            </wps:spPr>
                            <wps:txbx>
                              <w:txbxContent>
                                <w:p w14:paraId="0123384E" w14:textId="77777777" w:rsidR="00E73DA9" w:rsidRDefault="00E73DA9">
                                  <w:pPr>
                                    <w:spacing w:line="240" w:lineRule="auto"/>
                                    <w:ind w:left="0" w:hanging="2"/>
                                  </w:pPr>
                                </w:p>
                              </w:txbxContent>
                            </wps:txbx>
                            <wps:bodyPr spcFirstLastPara="1" wrap="square" lIns="91425" tIns="91425" rIns="91425" bIns="91425" anchor="ctr" anchorCtr="0">
                              <a:noAutofit/>
                            </wps:bodyPr>
                          </wps:wsp>
                          <wps:wsp>
                            <wps:cNvPr id="1290549737" name="Forma libre: forma 1290549737"/>
                            <wps:cNvSpPr/>
                            <wps:spPr>
                              <a:xfrm rot="5400000">
                                <a:off x="4739" y="6099"/>
                                <a:ext cx="4994" cy="4994"/>
                              </a:xfrm>
                              <a:custGeom>
                                <a:avLst/>
                                <a:gdLst/>
                                <a:ahLst/>
                                <a:cxnLst/>
                                <a:rect l="l" t="t" r="r" b="b"/>
                                <a:pathLst>
                                  <a:path w="120000" h="120000" extrusionOk="0">
                                    <a:moveTo>
                                      <a:pt x="7500" y="60000"/>
                                    </a:moveTo>
                                    <a:lnTo>
                                      <a:pt x="7500" y="60000"/>
                                    </a:lnTo>
                                    <a:cubicBezTo>
                                      <a:pt x="7500" y="32243"/>
                                      <a:pt x="27740" y="8954"/>
                                      <a:pt x="54425" y="6006"/>
                                    </a:cubicBezTo>
                                    <a:cubicBezTo>
                                      <a:pt x="81110" y="3059"/>
                                      <a:pt x="105648" y="21401"/>
                                      <a:pt x="111316" y="48533"/>
                                    </a:cubicBezTo>
                                    <a:lnTo>
                                      <a:pt x="118729" y="48533"/>
                                    </a:lnTo>
                                    <a:lnTo>
                                      <a:pt x="105000" y="60000"/>
                                    </a:lnTo>
                                    <a:lnTo>
                                      <a:pt x="88729" y="48533"/>
                                    </a:lnTo>
                                    <a:lnTo>
                                      <a:pt x="96136" y="48533"/>
                                    </a:lnTo>
                                    <a:cubicBezTo>
                                      <a:pt x="91122" y="27856"/>
                                      <a:pt x="73527" y="14596"/>
                                      <a:pt x="54942" y="17490"/>
                                    </a:cubicBezTo>
                                    <a:cubicBezTo>
                                      <a:pt x="36357" y="20385"/>
                                      <a:pt x="22500" y="38542"/>
                                      <a:pt x="22500" y="60000"/>
                                    </a:cubicBezTo>
                                    <a:close/>
                                  </a:path>
                                </a:pathLst>
                              </a:custGeom>
                              <a:solidFill>
                                <a:srgbClr val="92CDDC"/>
                              </a:solidFill>
                              <a:ln w="9525" cap="flat" cmpd="sng">
                                <a:solidFill>
                                  <a:srgbClr val="000000"/>
                                </a:solidFill>
                                <a:prstDash val="solid"/>
                                <a:miter lim="800000"/>
                                <a:headEnd type="none" w="sm" len="sm"/>
                                <a:tailEnd type="none" w="sm" len="sm"/>
                              </a:ln>
                            </wps:spPr>
                            <wps:txbx>
                              <w:txbxContent>
                                <w:p w14:paraId="3D433D0C" w14:textId="77777777" w:rsidR="00E73DA9" w:rsidRDefault="00E73DA9">
                                  <w:pPr>
                                    <w:spacing w:line="240" w:lineRule="auto"/>
                                    <w:ind w:left="0" w:hanging="2"/>
                                  </w:pPr>
                                </w:p>
                              </w:txbxContent>
                            </wps:txbx>
                            <wps:bodyPr spcFirstLastPara="1" wrap="square" lIns="91425" tIns="91425" rIns="91425" bIns="91425" anchor="ctr" anchorCtr="0">
                              <a:noAutofit/>
                            </wps:bodyPr>
                          </wps:wsp>
                          <wps:wsp>
                            <wps:cNvPr id="877652419" name="Forma libre: forma 877652419"/>
                            <wps:cNvSpPr/>
                            <wps:spPr>
                              <a:xfrm rot="10800000">
                                <a:off x="3630" y="7421"/>
                                <a:ext cx="4994" cy="4994"/>
                              </a:xfrm>
                              <a:custGeom>
                                <a:avLst/>
                                <a:gdLst/>
                                <a:ahLst/>
                                <a:cxnLst/>
                                <a:rect l="l" t="t" r="r" b="b"/>
                                <a:pathLst>
                                  <a:path w="120000" h="120000" extrusionOk="0">
                                    <a:moveTo>
                                      <a:pt x="5699" y="60000"/>
                                    </a:moveTo>
                                    <a:lnTo>
                                      <a:pt x="5699" y="60000"/>
                                    </a:lnTo>
                                    <a:cubicBezTo>
                                      <a:pt x="5699" y="34898"/>
                                      <a:pt x="24079" y="13307"/>
                                      <a:pt x="49558" y="8480"/>
                                    </a:cubicBezTo>
                                    <a:cubicBezTo>
                                      <a:pt x="75037" y="3653"/>
                                      <a:pt x="100485" y="16939"/>
                                      <a:pt x="110284" y="40185"/>
                                    </a:cubicBezTo>
                                    <a:lnTo>
                                      <a:pt x="115035" y="40185"/>
                                    </a:lnTo>
                                    <a:lnTo>
                                      <a:pt x="108601" y="60000"/>
                                    </a:lnTo>
                                    <a:lnTo>
                                      <a:pt x="92237" y="40185"/>
                                    </a:lnTo>
                                    <a:lnTo>
                                      <a:pt x="96423" y="40185"/>
                                    </a:lnTo>
                                    <a:lnTo>
                                      <a:pt x="96423" y="40185"/>
                                    </a:lnTo>
                                    <a:cubicBezTo>
                                      <a:pt x="86302" y="25971"/>
                                      <a:pt x="66628" y="19343"/>
                                      <a:pt x="48212" y="23943"/>
                                    </a:cubicBezTo>
                                    <a:cubicBezTo>
                                      <a:pt x="29795" y="28544"/>
                                      <a:pt x="17098" y="43258"/>
                                      <a:pt x="17098" y="60000"/>
                                    </a:cubicBezTo>
                                    <a:close/>
                                  </a:path>
                                </a:pathLst>
                              </a:custGeom>
                              <a:solidFill>
                                <a:srgbClr val="FABF8F"/>
                              </a:solidFill>
                              <a:ln w="9525" cap="flat" cmpd="sng">
                                <a:solidFill>
                                  <a:srgbClr val="000000"/>
                                </a:solidFill>
                                <a:prstDash val="solid"/>
                                <a:miter lim="800000"/>
                                <a:headEnd type="none" w="sm" len="sm"/>
                                <a:tailEnd type="none" w="sm" len="sm"/>
                              </a:ln>
                            </wps:spPr>
                            <wps:txbx>
                              <w:txbxContent>
                                <w:p w14:paraId="5E517884" w14:textId="77777777" w:rsidR="00E73DA9" w:rsidRDefault="00E73DA9">
                                  <w:pPr>
                                    <w:spacing w:line="240" w:lineRule="auto"/>
                                    <w:ind w:left="0" w:hanging="2"/>
                                  </w:pPr>
                                </w:p>
                              </w:txbxContent>
                            </wps:txbx>
                            <wps:bodyPr spcFirstLastPara="1" wrap="square" lIns="91425" tIns="91425" rIns="91425" bIns="91425" anchor="ctr" anchorCtr="0">
                              <a:noAutofit/>
                            </wps:bodyPr>
                          </wps:wsp>
                          <wps:wsp>
                            <wps:cNvPr id="1808833774" name="Forma libre: forma 1808833774"/>
                            <wps:cNvSpPr/>
                            <wps:spPr>
                              <a:xfrm rot="-5400000">
                                <a:off x="2456" y="6245"/>
                                <a:ext cx="4994" cy="4994"/>
                              </a:xfrm>
                              <a:custGeom>
                                <a:avLst/>
                                <a:gdLst/>
                                <a:ahLst/>
                                <a:cxnLst/>
                                <a:rect l="l" t="t" r="r" b="b"/>
                                <a:pathLst>
                                  <a:path w="120000" h="120000" extrusionOk="0">
                                    <a:moveTo>
                                      <a:pt x="7500" y="60000"/>
                                    </a:moveTo>
                                    <a:lnTo>
                                      <a:pt x="7500" y="60000"/>
                                    </a:lnTo>
                                    <a:cubicBezTo>
                                      <a:pt x="7500" y="32243"/>
                                      <a:pt x="27740" y="8954"/>
                                      <a:pt x="54425" y="6006"/>
                                    </a:cubicBezTo>
                                    <a:cubicBezTo>
                                      <a:pt x="81110" y="3059"/>
                                      <a:pt x="105648" y="21401"/>
                                      <a:pt x="111316" y="48533"/>
                                    </a:cubicBezTo>
                                    <a:lnTo>
                                      <a:pt x="118729" y="48533"/>
                                    </a:lnTo>
                                    <a:lnTo>
                                      <a:pt x="105000" y="60000"/>
                                    </a:lnTo>
                                    <a:lnTo>
                                      <a:pt x="88729" y="48533"/>
                                    </a:lnTo>
                                    <a:lnTo>
                                      <a:pt x="96136" y="48533"/>
                                    </a:lnTo>
                                    <a:cubicBezTo>
                                      <a:pt x="91122" y="27856"/>
                                      <a:pt x="73527" y="14596"/>
                                      <a:pt x="54942" y="17490"/>
                                    </a:cubicBezTo>
                                    <a:cubicBezTo>
                                      <a:pt x="36357" y="20385"/>
                                      <a:pt x="22500" y="38542"/>
                                      <a:pt x="22500" y="60000"/>
                                    </a:cubicBezTo>
                                    <a:close/>
                                  </a:path>
                                </a:pathLst>
                              </a:custGeom>
                              <a:solidFill>
                                <a:srgbClr val="76923C"/>
                              </a:solidFill>
                              <a:ln w="9525" cap="flat" cmpd="sng">
                                <a:solidFill>
                                  <a:srgbClr val="000000"/>
                                </a:solidFill>
                                <a:prstDash val="solid"/>
                                <a:miter lim="800000"/>
                                <a:headEnd type="none" w="sm" len="sm"/>
                                <a:tailEnd type="none" w="sm" len="sm"/>
                              </a:ln>
                            </wps:spPr>
                            <wps:txbx>
                              <w:txbxContent>
                                <w:p w14:paraId="0A3B89C2" w14:textId="77777777" w:rsidR="00E73DA9" w:rsidRDefault="00E73DA9">
                                  <w:pPr>
                                    <w:spacing w:line="240" w:lineRule="auto"/>
                                    <w:ind w:left="0" w:hanging="2"/>
                                  </w:pPr>
                                </w:p>
                              </w:txbxContent>
                            </wps:txbx>
                            <wps:bodyPr spcFirstLastPara="1" wrap="square" lIns="91425" tIns="91425" rIns="91425" bIns="91425" anchor="ctr" anchorCtr="0">
                              <a:noAutofit/>
                            </wps:bodyPr>
                          </wps:wsp>
                          <wps:wsp>
                            <wps:cNvPr id="277901070" name="Rectángulo 277901070"/>
                            <wps:cNvSpPr/>
                            <wps:spPr>
                              <a:xfrm>
                                <a:off x="7458" y="5530"/>
                                <a:ext cx="1882" cy="1882"/>
                              </a:xfrm>
                              <a:prstGeom prst="rect">
                                <a:avLst/>
                              </a:prstGeom>
                              <a:noFill/>
                              <a:ln>
                                <a:noFill/>
                              </a:ln>
                            </wps:spPr>
                            <wps:txbx>
                              <w:txbxContent>
                                <w:p w14:paraId="5F4ED205" w14:textId="77777777" w:rsidR="00E73DA9" w:rsidRDefault="00E73DA9">
                                  <w:pPr>
                                    <w:spacing w:line="240" w:lineRule="auto"/>
                                    <w:ind w:left="0" w:hanging="2"/>
                                    <w:jc w:val="center"/>
                                  </w:pPr>
                                </w:p>
                                <w:p w14:paraId="6DDBF20A" w14:textId="77777777" w:rsidR="00E73DA9" w:rsidRDefault="0098289F">
                                  <w:pPr>
                                    <w:spacing w:line="240" w:lineRule="auto"/>
                                    <w:jc w:val="center"/>
                                  </w:pPr>
                                  <w:r>
                                    <w:rPr>
                                      <w:b/>
                                      <w:color w:val="000000"/>
                                      <w:sz w:val="15"/>
                                    </w:rPr>
                                    <w:t>Estructurar Programa de Capacitación</w:t>
                                  </w:r>
                                  <w:r>
                                    <w:rPr>
                                      <w:color w:val="000000"/>
                                      <w:sz w:val="15"/>
                                    </w:rPr>
                                    <w:t xml:space="preserve"> </w:t>
                                  </w:r>
                                </w:p>
                                <w:p w14:paraId="29E15CE0" w14:textId="77777777" w:rsidR="00E73DA9" w:rsidRDefault="00E73DA9">
                                  <w:pPr>
                                    <w:spacing w:line="240" w:lineRule="auto"/>
                                    <w:ind w:left="0" w:hanging="2"/>
                                  </w:pPr>
                                </w:p>
                              </w:txbxContent>
                            </wps:txbx>
                            <wps:bodyPr spcFirstLastPara="1" wrap="square" lIns="91425" tIns="45700" rIns="91425" bIns="45700" anchor="t" anchorCtr="0">
                              <a:noAutofit/>
                            </wps:bodyPr>
                          </wps:wsp>
                          <wps:wsp>
                            <wps:cNvPr id="958032143" name="Rectángulo 958032143"/>
                            <wps:cNvSpPr/>
                            <wps:spPr>
                              <a:xfrm>
                                <a:off x="7459" y="10073"/>
                                <a:ext cx="1882" cy="1882"/>
                              </a:xfrm>
                              <a:prstGeom prst="rect">
                                <a:avLst/>
                              </a:prstGeom>
                              <a:noFill/>
                              <a:ln>
                                <a:noFill/>
                              </a:ln>
                            </wps:spPr>
                            <wps:txbx>
                              <w:txbxContent>
                                <w:p w14:paraId="420DD48E" w14:textId="77777777" w:rsidR="00E73DA9" w:rsidRDefault="00E73DA9">
                                  <w:pPr>
                                    <w:spacing w:line="240" w:lineRule="auto"/>
                                    <w:ind w:left="0" w:hanging="2"/>
                                    <w:jc w:val="center"/>
                                  </w:pPr>
                                </w:p>
                                <w:p w14:paraId="27A01D7C" w14:textId="77777777" w:rsidR="00E73DA9" w:rsidRDefault="00E73DA9">
                                  <w:pPr>
                                    <w:spacing w:line="240" w:lineRule="auto"/>
                                    <w:ind w:left="0" w:hanging="2"/>
                                    <w:jc w:val="center"/>
                                  </w:pPr>
                                </w:p>
                                <w:p w14:paraId="4497E5FA" w14:textId="77777777" w:rsidR="00E73DA9" w:rsidRDefault="0098289F">
                                  <w:pPr>
                                    <w:spacing w:line="240" w:lineRule="auto"/>
                                    <w:jc w:val="center"/>
                                  </w:pPr>
                                  <w:r>
                                    <w:rPr>
                                      <w:b/>
                                      <w:color w:val="000000"/>
                                      <w:sz w:val="15"/>
                                    </w:rPr>
                                    <w:t>Desarrollo</w:t>
                                  </w:r>
                                  <w:r>
                                    <w:rPr>
                                      <w:color w:val="000000"/>
                                      <w:sz w:val="15"/>
                                    </w:rPr>
                                    <w:t xml:space="preserve"> </w:t>
                                  </w:r>
                                </w:p>
                                <w:p w14:paraId="125E900C" w14:textId="77777777" w:rsidR="00E73DA9" w:rsidRDefault="00E73DA9">
                                  <w:pPr>
                                    <w:spacing w:line="240" w:lineRule="auto"/>
                                    <w:ind w:left="0" w:hanging="2"/>
                                  </w:pPr>
                                </w:p>
                              </w:txbxContent>
                            </wps:txbx>
                            <wps:bodyPr spcFirstLastPara="1" wrap="square" lIns="91425" tIns="45700" rIns="91425" bIns="45700" anchor="t" anchorCtr="0">
                              <a:noAutofit/>
                            </wps:bodyPr>
                          </wps:wsp>
                          <wps:wsp>
                            <wps:cNvPr id="928891060" name="Rectángulo 928891060"/>
                            <wps:cNvSpPr/>
                            <wps:spPr>
                              <a:xfrm>
                                <a:off x="2915" y="5531"/>
                                <a:ext cx="1882" cy="1882"/>
                              </a:xfrm>
                              <a:prstGeom prst="rect">
                                <a:avLst/>
                              </a:prstGeom>
                              <a:noFill/>
                              <a:ln>
                                <a:noFill/>
                              </a:ln>
                            </wps:spPr>
                            <wps:txbx>
                              <w:txbxContent>
                                <w:p w14:paraId="46A88A93" w14:textId="77777777" w:rsidR="00E73DA9" w:rsidRDefault="00E73DA9">
                                  <w:pPr>
                                    <w:spacing w:line="240" w:lineRule="auto"/>
                                    <w:ind w:left="0" w:hanging="2"/>
                                    <w:jc w:val="center"/>
                                  </w:pPr>
                                </w:p>
                                <w:p w14:paraId="4AD8F2D5" w14:textId="77777777" w:rsidR="00E73DA9" w:rsidRDefault="0098289F">
                                  <w:pPr>
                                    <w:spacing w:line="240" w:lineRule="auto"/>
                                    <w:jc w:val="center"/>
                                  </w:pPr>
                                  <w:r>
                                    <w:rPr>
                                      <w:b/>
                                      <w:color w:val="000000"/>
                                      <w:sz w:val="15"/>
                                    </w:rPr>
                                    <w:t>Diagnóstico de necesidades</w:t>
                                  </w:r>
                                  <w:r>
                                    <w:rPr>
                                      <w:color w:val="000000"/>
                                      <w:sz w:val="15"/>
                                    </w:rPr>
                                    <w:t xml:space="preserve"> </w:t>
                                  </w:r>
                                </w:p>
                                <w:p w14:paraId="7FE8AF84" w14:textId="77777777" w:rsidR="00E73DA9" w:rsidRDefault="00E73DA9">
                                  <w:pPr>
                                    <w:spacing w:line="240" w:lineRule="auto"/>
                                    <w:ind w:left="0" w:hanging="2"/>
                                  </w:pPr>
                                </w:p>
                              </w:txbxContent>
                            </wps:txbx>
                            <wps:bodyPr spcFirstLastPara="1" wrap="square" lIns="91425" tIns="45700" rIns="91425" bIns="45700" anchor="t" anchorCtr="0">
                              <a:noAutofit/>
                            </wps:bodyPr>
                          </wps:wsp>
                          <wps:wsp>
                            <wps:cNvPr id="1854982178" name="Rectángulo 1854982178"/>
                            <wps:cNvSpPr/>
                            <wps:spPr>
                              <a:xfrm>
                                <a:off x="2916" y="10074"/>
                                <a:ext cx="1882" cy="1882"/>
                              </a:xfrm>
                              <a:prstGeom prst="rect">
                                <a:avLst/>
                              </a:prstGeom>
                              <a:noFill/>
                              <a:ln>
                                <a:noFill/>
                              </a:ln>
                            </wps:spPr>
                            <wps:txbx>
                              <w:txbxContent>
                                <w:p w14:paraId="18C41F8F" w14:textId="77777777" w:rsidR="00E73DA9" w:rsidRDefault="00E73DA9">
                                  <w:pPr>
                                    <w:spacing w:line="240" w:lineRule="auto"/>
                                    <w:ind w:left="0" w:hanging="2"/>
                                  </w:pPr>
                                </w:p>
                                <w:p w14:paraId="36FB683F" w14:textId="77777777" w:rsidR="00E73DA9" w:rsidRDefault="0098289F">
                                  <w:pPr>
                                    <w:spacing w:line="240" w:lineRule="auto"/>
                                  </w:pPr>
                                  <w:r>
                                    <w:rPr>
                                      <w:b/>
                                      <w:color w:val="000000"/>
                                      <w:sz w:val="15"/>
                                    </w:rPr>
                                    <w:t>Seguimiento al proceso</w:t>
                                  </w:r>
                                </w:p>
                                <w:p w14:paraId="65DB14AC" w14:textId="77777777" w:rsidR="00E73DA9" w:rsidRDefault="00E73DA9">
                                  <w:pPr>
                                    <w:spacing w:line="240" w:lineRule="auto"/>
                                    <w:ind w:left="0" w:hanging="2"/>
                                    <w:jc w:val="center"/>
                                  </w:pPr>
                                </w:p>
                                <w:p w14:paraId="20B4F7E2" w14:textId="77777777" w:rsidR="00E73DA9" w:rsidRDefault="00E73DA9">
                                  <w:pPr>
                                    <w:spacing w:line="240" w:lineRule="auto"/>
                                    <w:ind w:left="0" w:hanging="2"/>
                                  </w:pPr>
                                </w:p>
                              </w:txbxContent>
                            </wps:txbx>
                            <wps:bodyPr spcFirstLastPara="1" wrap="square" lIns="91425" tIns="45700" rIns="91425" bIns="4570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6BB90BDA" id="Grupo 4" o:spid="_x0000_s1026" style="position:absolute;left:0;text-align:left;margin-left:108.45pt;margin-top:18.8pt;width:194.4pt;height:131.4pt;z-index:251658240;mso-width-relative:margin;mso-height-relative:margin" coordorigin="38264,26252" coordsize="30391,2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">
                <v:group id="Grupo 1440846886" o:spid="_x0000_s1027" style="position:absolute;left:38264;top:26252;width:30391;height:23095" coordorigin="38264,26252" coordsize="30391,2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">
                  <v:rect id="Rectángulo 1640966450" o:spid="_x0000_s1028" style="position:absolute;left:38264;top:26252;width:30391;height:23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" filled="f" stroked="f">
                    <v:textbox inset="2.53958mm,2.53958mm,2.53958mm,2.53958mm">
                      <w:txbxContent>
                        <w:p w14:paraId="55569DB5" w14:textId="77777777" w:rsidR="00E73DA9" w:rsidRDefault="00E73DA9">
                          <w:pPr>
                            <w:spacing w:line="240" w:lineRule="auto"/>
                            <w:ind w:left="0" w:hanging="2"/>
                          </w:pPr>
                        </w:p>
                      </w:txbxContent>
                    </v:textbox>
                  </v:rect>
                  <v:group id="Grupo 897990328" o:spid="_x0000_s1029" style="position:absolute;left:38264;top:26252;width:30391;height:23095" coordorigin="1808,4423" coordsize="8640,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">
                    <v:rect id="Rectángulo 247509785" o:spid="_x0000_s1030" style="position:absolute;left:1808;top:4423;width:8625;height:8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" filled="f" stroked="f">
                      <v:textbox inset="2.53958mm,2.53958mm,2.53958mm,2.53958mm">
                        <w:txbxContent>
                          <w:p w14:paraId="7E32EB42" w14:textId="77777777" w:rsidR="00E73DA9" w:rsidRDefault="00E73DA9">
                            <w:pPr>
                              <w:spacing w:line="240" w:lineRule="auto"/>
                              <w:ind w:left="0" w:hanging="2"/>
                            </w:pPr>
                          </w:p>
                        </w:txbxContent>
                      </v:textbox>
                    </v:rect>
                    <v:rect id="Rectángulo 1916837967" o:spid="_x0000_s1031" style="position:absolute;left:1808;top:4423;width:8640;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" filled="f" stroked="f">
                      <v:textbox inset="2.53958mm,2.53958mm,2.53958mm,2.53958mm">
                        <w:txbxContent>
                          <w:p w14:paraId="58B6647A" w14:textId="77777777" w:rsidR="00E73DA9" w:rsidRDefault="00E73DA9">
                            <w:pPr>
                              <w:spacing w:line="240" w:lineRule="auto"/>
                              <w:ind w:left="0" w:hanging="2"/>
                            </w:pPr>
                          </w:p>
                        </w:txbxContent>
                      </v:textbox>
                    </v:rect>
                    <v:shape id="Forma libre: forma 1435443664" o:spid="_x0000_s1032" style="position:absolute;left:3631;top:5071;width:4994;height:4994;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" adj="-11796480,,5400" path="m5699,60000r,c5699,34898,24079,13307,49558,8480v25479,-4827,50927,8459,60726,31705l115035,40185r-6434,19815l92237,40185r4186,l96423,40185c86302,25971,66628,19343,48212,23943,29795,28544,17098,43258,17098,60000r-11399,xe" fillcolor="#d99594">
                      <v:stroke startarrowwidth="narrow" startarrowlength="short" endarrowwidth="narrow" endarrowlength="short" joinstyle="miter"/>
                      <v:formulas/>
                      <v:path arrowok="t" o:extrusionok="f" o:connecttype="custom" textboxrect="0,0,120000,120000"/>
                      <v:textbox inset="2.53958mm,2.53958mm,2.53958mm,2.53958mm">
                        <w:txbxContent>
                          <w:p w14:paraId="0123384E" w14:textId="77777777" w:rsidR="00E73DA9" w:rsidRDefault="00E73DA9">
                            <w:pPr>
                              <w:spacing w:line="240" w:lineRule="auto"/>
                              <w:ind w:left="0" w:hanging="2"/>
                            </w:pPr>
                          </w:p>
                        </w:txbxContent>
                      </v:textbox>
                    </v:shape>
                    <v:shape id="Forma libre: forma 1290549737" o:spid="_x0000_s1033" style="position:absolute;left:4739;top:6099;width:4994;height:4994;rotation:9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" adj="-11796480,,5400" path="m7500,60000r,c7500,32243,27740,8954,54425,6006v26685,-2947,51223,15395,56891,42527l118729,48533,105000,60000,88729,48533r7407,c91122,27856,73527,14596,54942,17490,36357,20385,22500,38542,22500,60000r-15000,xe" fillcolor="#92cddc">
                      <v:stroke startarrowwidth="narrow" startarrowlength="short" endarrowwidth="narrow" endarrowlength="short" joinstyle="miter"/>
                      <v:formulas/>
                      <v:path arrowok="t" o:extrusionok="f" o:connecttype="custom" textboxrect="0,0,120000,120000"/>
                      <v:textbox inset="2.53958mm,2.53958mm,2.53958mm,2.53958mm">
                        <w:txbxContent>
                          <w:p w14:paraId="3D433D0C" w14:textId="77777777" w:rsidR="00E73DA9" w:rsidRDefault="00E73DA9">
                            <w:pPr>
                              <w:spacing w:line="240" w:lineRule="auto"/>
                              <w:ind w:left="0" w:hanging="2"/>
                            </w:pPr>
                          </w:p>
                        </w:txbxContent>
                      </v:textbox>
                    </v:shape>
                    <v:shape id="Forma libre: forma 877652419" o:spid="_x0000_s1034" style="position:absolute;left:3630;top:7421;width:4994;height:4994;rotation:18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" adj="-11796480,,5400" path="m5699,60000r,c5699,34898,24079,13307,49558,8480v25479,-4827,50927,8459,60726,31705l115035,40185r-6434,19815l92237,40185r4186,l96423,40185c86302,25971,66628,19343,48212,23943,29795,28544,17098,43258,17098,60000r-11399,xe" fillcolor="#fabf8f">
                      <v:stroke startarrowwidth="narrow" startarrowlength="short" endarrowwidth="narrow" endarrowlength="short" joinstyle="miter"/>
                      <v:formulas/>
                      <v:path arrowok="t" o:extrusionok="f" o:connecttype="custom" textboxrect="0,0,120000,120000"/>
                      <v:textbox inset="2.53958mm,2.53958mm,2.53958mm,2.53958mm">
                        <w:txbxContent>
                          <w:p w14:paraId="5E517884" w14:textId="77777777" w:rsidR="00E73DA9" w:rsidRDefault="00E73DA9">
                            <w:pPr>
                              <w:spacing w:line="240" w:lineRule="auto"/>
                              <w:ind w:left="0" w:hanging="2"/>
                            </w:pPr>
                          </w:p>
                        </w:txbxContent>
                      </v:textbox>
                    </v:shape>
                    <v:shape id="Forma libre: forma 1808833774" o:spid="_x0000_s1035" style="position:absolute;left:2456;top:6245;width:4994;height:4994;rotation:-9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" adj="-11796480,,5400" path="m7500,60000r,c7500,32243,27740,8954,54425,6006v26685,-2947,51223,15395,56891,42527l118729,48533,105000,60000,88729,48533r7407,c91122,27856,73527,14596,54942,17490,36357,20385,22500,38542,22500,60000r-15000,xe" fillcolor="#76923c">
                      <v:stroke startarrowwidth="narrow" startarrowlength="short" endarrowwidth="narrow" endarrowlength="short" joinstyle="miter"/>
                      <v:formulas/>
                      <v:path arrowok="t" o:extrusionok="f" o:connecttype="custom" textboxrect="0,0,120000,120000"/>
                      <v:textbox inset="2.53958mm,2.53958mm,2.53958mm,2.53958mm">
                        <w:txbxContent>
                          <w:p w14:paraId="0A3B89C2" w14:textId="77777777" w:rsidR="00E73DA9" w:rsidRDefault="00E73DA9">
                            <w:pPr>
                              <w:spacing w:line="240" w:lineRule="auto"/>
                              <w:ind w:left="0" w:hanging="2"/>
                            </w:pPr>
                          </w:p>
                        </w:txbxContent>
                      </v:textbox>
                    </v:shape>
                    <v:rect id="Rectángulo 277901070" o:spid="_x0000_s1036" style="position:absolute;left:7458;top:5530;width:1882;height:1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" filled="f" stroked="f">
                      <v:textbox inset="2.53958mm,1.2694mm,2.53958mm,1.2694mm">
                        <w:txbxContent>
                          <w:p w14:paraId="5F4ED205" w14:textId="77777777" w:rsidR="00E73DA9" w:rsidRDefault="00E73DA9">
                            <w:pPr>
                              <w:spacing w:line="240" w:lineRule="auto"/>
                              <w:ind w:left="0" w:hanging="2"/>
                              <w:jc w:val="center"/>
                            </w:pPr>
                          </w:p>
                          <w:p w14:paraId="6DDBF20A" w14:textId="77777777" w:rsidR="00E73DA9" w:rsidRDefault="0098289F">
                            <w:pPr>
                              <w:spacing w:line="240" w:lineRule="auto"/>
                              <w:jc w:val="center"/>
                            </w:pPr>
                            <w:r>
                              <w:rPr>
                                <w:b/>
                                <w:color w:val="000000"/>
                                <w:sz w:val="15"/>
                              </w:rPr>
                              <w:t>Estructurar Programa de Capacitación</w:t>
                            </w:r>
                            <w:r>
                              <w:rPr>
                                <w:color w:val="000000"/>
                                <w:sz w:val="15"/>
                              </w:rPr>
                              <w:t xml:space="preserve"> </w:t>
                            </w:r>
                          </w:p>
                          <w:p w14:paraId="29E15CE0" w14:textId="77777777" w:rsidR="00E73DA9" w:rsidRDefault="00E73DA9">
                            <w:pPr>
                              <w:spacing w:line="240" w:lineRule="auto"/>
                              <w:ind w:left="0" w:hanging="2"/>
                            </w:pPr>
                          </w:p>
                        </w:txbxContent>
                      </v:textbox>
                    </v:rect>
                    <v:rect id="Rectángulo 958032143" o:spid="_x0000_s1037" style="position:absolute;left:7459;top:10073;width:1882;height:1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" filled="f" stroked="f">
                      <v:textbox inset="2.53958mm,1.2694mm,2.53958mm,1.2694mm">
                        <w:txbxContent>
                          <w:p w14:paraId="420DD48E" w14:textId="77777777" w:rsidR="00E73DA9" w:rsidRDefault="00E73DA9">
                            <w:pPr>
                              <w:spacing w:line="240" w:lineRule="auto"/>
                              <w:ind w:left="0" w:hanging="2"/>
                              <w:jc w:val="center"/>
                            </w:pPr>
                          </w:p>
                          <w:p w14:paraId="27A01D7C" w14:textId="77777777" w:rsidR="00E73DA9" w:rsidRDefault="00E73DA9">
                            <w:pPr>
                              <w:spacing w:line="240" w:lineRule="auto"/>
                              <w:ind w:left="0" w:hanging="2"/>
                              <w:jc w:val="center"/>
                            </w:pPr>
                          </w:p>
                          <w:p w14:paraId="4497E5FA" w14:textId="77777777" w:rsidR="00E73DA9" w:rsidRDefault="0098289F">
                            <w:pPr>
                              <w:spacing w:line="240" w:lineRule="auto"/>
                              <w:jc w:val="center"/>
                            </w:pPr>
                            <w:r>
                              <w:rPr>
                                <w:b/>
                                <w:color w:val="000000"/>
                                <w:sz w:val="15"/>
                              </w:rPr>
                              <w:t>Desarrollo</w:t>
                            </w:r>
                            <w:r>
                              <w:rPr>
                                <w:color w:val="000000"/>
                                <w:sz w:val="15"/>
                              </w:rPr>
                              <w:t xml:space="preserve"> </w:t>
                            </w:r>
                          </w:p>
                          <w:p w14:paraId="125E900C" w14:textId="77777777" w:rsidR="00E73DA9" w:rsidRDefault="00E73DA9">
                            <w:pPr>
                              <w:spacing w:line="240" w:lineRule="auto"/>
                              <w:ind w:left="0" w:hanging="2"/>
                            </w:pPr>
                          </w:p>
                        </w:txbxContent>
                      </v:textbox>
                    </v:rect>
                    <v:rect id="Rectángulo 928891060" o:spid="_x0000_s1038" style="position:absolute;left:2915;top:5531;width:1882;height:1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" filled="f" stroked="f">
                      <v:textbox inset="2.53958mm,1.2694mm,2.53958mm,1.2694mm">
                        <w:txbxContent>
                          <w:p w14:paraId="46A88A93" w14:textId="77777777" w:rsidR="00E73DA9" w:rsidRDefault="00E73DA9">
                            <w:pPr>
                              <w:spacing w:line="240" w:lineRule="auto"/>
                              <w:ind w:left="0" w:hanging="2"/>
                              <w:jc w:val="center"/>
                            </w:pPr>
                          </w:p>
                          <w:p w14:paraId="4AD8F2D5" w14:textId="77777777" w:rsidR="00E73DA9" w:rsidRDefault="0098289F">
                            <w:pPr>
                              <w:spacing w:line="240" w:lineRule="auto"/>
                              <w:jc w:val="center"/>
                            </w:pPr>
                            <w:r>
                              <w:rPr>
                                <w:b/>
                                <w:color w:val="000000"/>
                                <w:sz w:val="15"/>
                              </w:rPr>
                              <w:t>Diagnóstico de necesidades</w:t>
                            </w:r>
                            <w:r>
                              <w:rPr>
                                <w:color w:val="000000"/>
                                <w:sz w:val="15"/>
                              </w:rPr>
                              <w:t xml:space="preserve"> </w:t>
                            </w:r>
                          </w:p>
                          <w:p w14:paraId="7FE8AF84" w14:textId="77777777" w:rsidR="00E73DA9" w:rsidRDefault="00E73DA9">
                            <w:pPr>
                              <w:spacing w:line="240" w:lineRule="auto"/>
                              <w:ind w:left="0" w:hanging="2"/>
                            </w:pPr>
                          </w:p>
                        </w:txbxContent>
                      </v:textbox>
                    </v:rect>
                    <v:rect id="Rectángulo 1854982178" o:spid="_x0000_s1039" style="position:absolute;left:2916;top:10074;width:1882;height:1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" filled="f" stroked="f">
                      <v:textbox inset="2.53958mm,1.2694mm,2.53958mm,1.2694mm">
                        <w:txbxContent>
                          <w:p w14:paraId="18C41F8F" w14:textId="77777777" w:rsidR="00E73DA9" w:rsidRDefault="00E73DA9">
                            <w:pPr>
                              <w:spacing w:line="240" w:lineRule="auto"/>
                              <w:ind w:left="0" w:hanging="2"/>
                            </w:pPr>
                          </w:p>
                          <w:p w14:paraId="36FB683F" w14:textId="77777777" w:rsidR="00E73DA9" w:rsidRDefault="0098289F">
                            <w:pPr>
                              <w:spacing w:line="240" w:lineRule="auto"/>
                            </w:pPr>
                            <w:r>
                              <w:rPr>
                                <w:b/>
                                <w:color w:val="000000"/>
                                <w:sz w:val="15"/>
                              </w:rPr>
                              <w:t>Seguimiento al proceso</w:t>
                            </w:r>
                          </w:p>
                          <w:p w14:paraId="65DB14AC" w14:textId="77777777" w:rsidR="00E73DA9" w:rsidRDefault="00E73DA9">
                            <w:pPr>
                              <w:spacing w:line="240" w:lineRule="auto"/>
                              <w:ind w:left="0" w:hanging="2"/>
                              <w:jc w:val="center"/>
                            </w:pPr>
                          </w:p>
                          <w:p w14:paraId="20B4F7E2" w14:textId="77777777" w:rsidR="00E73DA9" w:rsidRDefault="00E73DA9">
                            <w:pPr>
                              <w:spacing w:line="240" w:lineRule="auto"/>
                              <w:ind w:left="0" w:hanging="2"/>
                            </w:pPr>
                          </w:p>
                        </w:txbxContent>
                      </v:textbox>
                    </v:rect>
                  </v:group>
                </v:group>
              </v:group>
            </w:pict>
          </mc:Fallback>
        </mc:AlternateContent>
      </w:r>
      <w:r>
        <w:rPr>
          <w:sz w:val="22"/>
          <w:szCs w:val="22"/>
        </w:rPr>
        <w:t xml:space="preserve">El Programa de capacitación en Seguridad y Salud en el Trabajo (SST) se formula y se desarrolla de acuerdo con las siguientes fases: </w:t>
      </w:r>
    </w:p>
    <w:p w14:paraId="0DEC95B9" w14:textId="77777777" w:rsidR="00E73DA9" w:rsidRDefault="00E73DA9">
      <w:pPr>
        <w:spacing w:line="276" w:lineRule="auto"/>
        <w:ind w:left="0" w:hanging="2"/>
        <w:jc w:val="both"/>
        <w:rPr>
          <w:sz w:val="22"/>
          <w:szCs w:val="22"/>
        </w:rPr>
      </w:pPr>
    </w:p>
    <w:p w14:paraId="48388D02" w14:textId="77777777" w:rsidR="00E73DA9" w:rsidRDefault="00E73DA9">
      <w:pPr>
        <w:spacing w:line="276" w:lineRule="auto"/>
        <w:ind w:left="0" w:hanging="2"/>
        <w:jc w:val="both"/>
        <w:rPr>
          <w:sz w:val="22"/>
          <w:szCs w:val="22"/>
        </w:rPr>
      </w:pPr>
    </w:p>
    <w:p w14:paraId="3C866569" w14:textId="77777777" w:rsidR="00E73DA9" w:rsidRDefault="00E73DA9">
      <w:pPr>
        <w:spacing w:line="276" w:lineRule="auto"/>
        <w:ind w:left="0" w:hanging="2"/>
        <w:jc w:val="both"/>
        <w:rPr>
          <w:sz w:val="22"/>
          <w:szCs w:val="22"/>
        </w:rPr>
      </w:pPr>
    </w:p>
    <w:p w14:paraId="0AED4544" w14:textId="77777777" w:rsidR="00E73DA9" w:rsidRDefault="00E73DA9">
      <w:pPr>
        <w:spacing w:line="276" w:lineRule="auto"/>
        <w:ind w:left="0" w:hanging="2"/>
        <w:jc w:val="both"/>
        <w:rPr>
          <w:sz w:val="22"/>
          <w:szCs w:val="22"/>
        </w:rPr>
      </w:pPr>
    </w:p>
    <w:p w14:paraId="4B86E631" w14:textId="77777777" w:rsidR="00E73DA9" w:rsidRDefault="00E73DA9">
      <w:pPr>
        <w:spacing w:line="276" w:lineRule="auto"/>
        <w:ind w:left="0" w:hanging="2"/>
        <w:jc w:val="both"/>
        <w:rPr>
          <w:sz w:val="22"/>
          <w:szCs w:val="22"/>
        </w:rPr>
      </w:pPr>
    </w:p>
    <w:p w14:paraId="1139D140" w14:textId="77777777" w:rsidR="00E73DA9" w:rsidRDefault="00E73DA9">
      <w:pPr>
        <w:spacing w:line="276" w:lineRule="auto"/>
        <w:ind w:left="0" w:hanging="2"/>
        <w:jc w:val="both"/>
        <w:rPr>
          <w:sz w:val="22"/>
          <w:szCs w:val="22"/>
        </w:rPr>
      </w:pPr>
    </w:p>
    <w:p w14:paraId="721D49DB" w14:textId="77777777" w:rsidR="00E73DA9" w:rsidRDefault="00E73DA9">
      <w:pPr>
        <w:spacing w:line="276" w:lineRule="auto"/>
        <w:ind w:left="0" w:hanging="2"/>
        <w:jc w:val="both"/>
        <w:rPr>
          <w:sz w:val="22"/>
          <w:szCs w:val="22"/>
        </w:rPr>
      </w:pPr>
    </w:p>
    <w:p w14:paraId="68A74CF1" w14:textId="77777777" w:rsidR="00E73DA9" w:rsidRDefault="00E73DA9">
      <w:pPr>
        <w:spacing w:line="276" w:lineRule="auto"/>
        <w:ind w:left="0" w:hanging="2"/>
        <w:jc w:val="both"/>
        <w:rPr>
          <w:sz w:val="22"/>
          <w:szCs w:val="22"/>
        </w:rPr>
      </w:pPr>
    </w:p>
    <w:p w14:paraId="753FB973" w14:textId="77777777" w:rsidR="00E73DA9" w:rsidRDefault="00E73DA9">
      <w:pPr>
        <w:spacing w:line="276" w:lineRule="auto"/>
        <w:ind w:left="0" w:hanging="2"/>
        <w:jc w:val="both"/>
        <w:rPr>
          <w:sz w:val="22"/>
          <w:szCs w:val="22"/>
        </w:rPr>
      </w:pPr>
    </w:p>
    <w:p w14:paraId="13E63B00" w14:textId="77777777" w:rsidR="00E73DA9" w:rsidRDefault="0098289F">
      <w:pPr>
        <w:keepNext/>
        <w:pBdr>
          <w:top w:val="nil"/>
          <w:left w:val="nil"/>
          <w:bottom w:val="nil"/>
          <w:right w:val="nil"/>
          <w:between w:val="nil"/>
        </w:pBdr>
        <w:spacing w:before="240" w:after="60" w:line="276" w:lineRule="auto"/>
        <w:ind w:left="0" w:hanging="2"/>
        <w:jc w:val="both"/>
        <w:rPr>
          <w:b/>
          <w:color w:val="000000"/>
          <w:sz w:val="22"/>
          <w:szCs w:val="22"/>
        </w:rPr>
      </w:pPr>
      <w:bookmarkStart w:id="8" w:name="_heading=h.4d34og8" w:colFirst="0" w:colLast="0"/>
      <w:bookmarkEnd w:id="8"/>
      <w:r>
        <w:rPr>
          <w:b/>
          <w:color w:val="000000"/>
          <w:sz w:val="22"/>
          <w:szCs w:val="22"/>
        </w:rPr>
        <w:t>4.2.1 Diagnóstico de necesidades</w:t>
      </w:r>
    </w:p>
    <w:p w14:paraId="0272234E" w14:textId="77777777" w:rsidR="00E73DA9" w:rsidRDefault="0098289F">
      <w:pPr>
        <w:spacing w:line="276" w:lineRule="auto"/>
        <w:ind w:left="0" w:hanging="2"/>
        <w:jc w:val="both"/>
        <w:rPr>
          <w:color w:val="000000"/>
          <w:sz w:val="22"/>
          <w:szCs w:val="22"/>
        </w:rPr>
      </w:pPr>
      <w:bookmarkStart w:id="9" w:name="_heading=h.2s8eyo1" w:colFirst="0" w:colLast="0"/>
      <w:bookmarkEnd w:id="9"/>
      <w:r>
        <w:rPr>
          <w:color w:val="000000"/>
          <w:sz w:val="22"/>
          <w:szCs w:val="22"/>
        </w:rPr>
        <w:t xml:space="preserve">La identificación de necesidades parte de los resultados anuales obtenidos en la identificación de peligros, diagnósticos de los Programas de Vigilancia Epidemiológica, Investigación de Incidentes y Accidentes de Trabajo, Calificación de la Enfermedad Laboral, Ausentismo, Emergencias y Programas de Gestión del Riesgo. Esta fase está a cargo del profesional responsable de cada programa. </w:t>
      </w:r>
    </w:p>
    <w:p w14:paraId="6FC11291" w14:textId="77777777" w:rsidR="00E73DA9" w:rsidRDefault="0098289F">
      <w:pPr>
        <w:keepNext/>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4.2.2 Estructuración y concertación del Programa de Capacitación</w:t>
      </w:r>
    </w:p>
    <w:p w14:paraId="5CF23D76" w14:textId="77777777" w:rsidR="00E73DA9" w:rsidRDefault="0098289F">
      <w:pPr>
        <w:spacing w:line="276" w:lineRule="auto"/>
        <w:ind w:left="0" w:hanging="2"/>
        <w:jc w:val="both"/>
        <w:rPr>
          <w:color w:val="000000"/>
          <w:sz w:val="22"/>
          <w:szCs w:val="22"/>
        </w:rPr>
      </w:pPr>
      <w:bookmarkStart w:id="10" w:name="_heading=h.17dp8vu" w:colFirst="0" w:colLast="0"/>
      <w:bookmarkEnd w:id="10"/>
      <w:r>
        <w:rPr>
          <w:color w:val="000000"/>
          <w:sz w:val="22"/>
          <w:szCs w:val="22"/>
        </w:rPr>
        <w:t xml:space="preserve">Se determina la población objeto, contenido, metodologías, cronograma lugares, fechas, horarios concertando con los comités </w:t>
      </w:r>
      <w:r>
        <w:rPr>
          <w:sz w:val="22"/>
          <w:szCs w:val="22"/>
        </w:rPr>
        <w:t>paritarios</w:t>
      </w:r>
      <w:r>
        <w:rPr>
          <w:color w:val="000000"/>
          <w:sz w:val="22"/>
          <w:szCs w:val="22"/>
        </w:rPr>
        <w:t xml:space="preserve"> de SST, Convivencia Laboral y Comité de Emergencias. </w:t>
      </w:r>
      <w:r>
        <w:rPr>
          <w:color w:val="000000"/>
          <w:sz w:val="22"/>
          <w:szCs w:val="22"/>
        </w:rPr>
        <w:lastRenderedPageBreak/>
        <w:t>Esta fase está a cargo del profesional responsable de Coordinación del Sistema de Gestión de la Seguridad y Salud en el Trabajo.</w:t>
      </w:r>
    </w:p>
    <w:p w14:paraId="542CC14A" w14:textId="77777777" w:rsidR="00E73DA9" w:rsidRDefault="0098289F">
      <w:pPr>
        <w:keepNext/>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4.2.3 Desarrollo</w:t>
      </w:r>
    </w:p>
    <w:p w14:paraId="54002386" w14:textId="19C6B33F" w:rsidR="00E73DA9" w:rsidRDefault="0098289F">
      <w:pPr>
        <w:spacing w:line="276" w:lineRule="auto"/>
        <w:ind w:left="0" w:hanging="2"/>
        <w:jc w:val="both"/>
        <w:rPr>
          <w:color w:val="000000"/>
          <w:sz w:val="22"/>
          <w:szCs w:val="22"/>
        </w:rPr>
      </w:pPr>
      <w:bookmarkStart w:id="11" w:name="_heading=h.3rdcrjn" w:colFirst="0" w:colLast="0"/>
      <w:bookmarkEnd w:id="11"/>
      <w:r>
        <w:rPr>
          <w:color w:val="000000"/>
          <w:sz w:val="22"/>
          <w:szCs w:val="22"/>
        </w:rPr>
        <w:t>Capacitación de acuerdo con el cronograma de Inducción, reinducción, entrenamiento y capacitación. Esta fase está a cargo de los técnicos y profesionales del equipo de SST de la GOBERNACION DE BOLIVAR</w:t>
      </w:r>
      <w:r>
        <w:rPr>
          <w:sz w:val="22"/>
          <w:szCs w:val="22"/>
        </w:rPr>
        <w:t>. P</w:t>
      </w:r>
      <w:r>
        <w:rPr>
          <w:color w:val="000000"/>
          <w:sz w:val="22"/>
          <w:szCs w:val="22"/>
        </w:rPr>
        <w:t>roveedores de la ARL y del Intermediario de Riesgos.</w:t>
      </w:r>
    </w:p>
    <w:p w14:paraId="245FBE3F" w14:textId="77777777" w:rsidR="00E73DA9" w:rsidRDefault="0098289F">
      <w:pPr>
        <w:keepNext/>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4.2.4 Seguimiento al proceso</w:t>
      </w:r>
    </w:p>
    <w:p w14:paraId="08124650" w14:textId="77777777" w:rsidR="00E73DA9" w:rsidRDefault="0098289F">
      <w:pPr>
        <w:spacing w:line="276" w:lineRule="auto"/>
        <w:ind w:left="0" w:hanging="2"/>
        <w:jc w:val="both"/>
        <w:rPr>
          <w:sz w:val="22"/>
          <w:szCs w:val="22"/>
        </w:rPr>
      </w:pPr>
      <w:r>
        <w:rPr>
          <w:color w:val="000000"/>
          <w:sz w:val="22"/>
          <w:szCs w:val="22"/>
        </w:rPr>
        <w:t xml:space="preserve">Cada técnico o profesional que imparta inducción, reinducción y capacitación realizará la evaluación Pre y Post, análisis de resultados y propuestas de mejora. La evaluación del entrenamiento en el puesto de trabajo y las propuestas de mejora la realizará el jefe inmediato, supervisor, Gestor o Coordinador de Grupo. </w:t>
      </w:r>
    </w:p>
    <w:p w14:paraId="40203338"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bookmarkStart w:id="12" w:name="_heading=h.26in1rg" w:colFirst="0" w:colLast="0"/>
      <w:bookmarkEnd w:id="12"/>
      <w:r>
        <w:rPr>
          <w:b/>
          <w:color w:val="000000"/>
          <w:sz w:val="22"/>
          <w:szCs w:val="22"/>
        </w:rPr>
        <w:t>4.2.5 Inducción en SG-SST</w:t>
      </w:r>
    </w:p>
    <w:p w14:paraId="2E59C21D" w14:textId="233E208E" w:rsidR="00E73DA9" w:rsidRDefault="0098289F">
      <w:pPr>
        <w:spacing w:line="276" w:lineRule="auto"/>
        <w:ind w:left="0" w:hanging="2"/>
        <w:jc w:val="both"/>
        <w:rPr>
          <w:sz w:val="22"/>
          <w:szCs w:val="22"/>
        </w:rPr>
      </w:pPr>
      <w:r>
        <w:rPr>
          <w:sz w:val="22"/>
          <w:szCs w:val="22"/>
        </w:rPr>
        <w:t>La inducción en el Sistema de Gestión de la Seguridad y Salud en el Trabajo (SG-SST) se debe desarrollar por tardar dentro de los 30 días de vinculado el servidor o contratista a la empresa GOBERNACION DE BOLIVAR</w:t>
      </w:r>
      <w:r>
        <w:rPr>
          <w:color w:val="FF0000"/>
          <w:sz w:val="22"/>
          <w:szCs w:val="22"/>
        </w:rPr>
        <w:t xml:space="preserve"> </w:t>
      </w:r>
      <w:r>
        <w:rPr>
          <w:sz w:val="22"/>
          <w:szCs w:val="22"/>
        </w:rPr>
        <w:t>y su temática tendrá como mínimo la siguiente estructura:</w:t>
      </w:r>
    </w:p>
    <w:p w14:paraId="4478930C" w14:textId="77777777" w:rsidR="00E73DA9" w:rsidRDefault="00E73DA9">
      <w:pPr>
        <w:spacing w:line="276" w:lineRule="auto"/>
        <w:ind w:left="0" w:hanging="2"/>
        <w:jc w:val="both"/>
        <w:rPr>
          <w:sz w:val="22"/>
          <w:szCs w:val="22"/>
        </w:rPr>
      </w:pPr>
    </w:p>
    <w:p w14:paraId="60AE1C42" w14:textId="77777777" w:rsidR="00E73DA9" w:rsidRDefault="0098289F">
      <w:pPr>
        <w:numPr>
          <w:ilvl w:val="0"/>
          <w:numId w:val="2"/>
        </w:numPr>
        <w:pBdr>
          <w:top w:val="nil"/>
          <w:left w:val="nil"/>
          <w:bottom w:val="nil"/>
          <w:right w:val="nil"/>
          <w:between w:val="nil"/>
        </w:pBdr>
        <w:spacing w:line="276" w:lineRule="auto"/>
        <w:ind w:left="0" w:hanging="2"/>
        <w:jc w:val="both"/>
        <w:rPr>
          <w:color w:val="000000"/>
          <w:sz w:val="22"/>
          <w:szCs w:val="22"/>
        </w:rPr>
      </w:pPr>
      <w:r>
        <w:rPr>
          <w:color w:val="000000"/>
          <w:sz w:val="22"/>
          <w:szCs w:val="22"/>
        </w:rPr>
        <w:t>Reseña histórica del SG-SST.</w:t>
      </w:r>
    </w:p>
    <w:p w14:paraId="127EF535" w14:textId="77777777" w:rsidR="00E73DA9" w:rsidRDefault="0098289F">
      <w:pPr>
        <w:numPr>
          <w:ilvl w:val="0"/>
          <w:numId w:val="2"/>
        </w:numPr>
        <w:pBdr>
          <w:top w:val="nil"/>
          <w:left w:val="nil"/>
          <w:bottom w:val="nil"/>
          <w:right w:val="nil"/>
          <w:between w:val="nil"/>
        </w:pBdr>
        <w:spacing w:line="276" w:lineRule="auto"/>
        <w:ind w:left="0" w:hanging="2"/>
        <w:jc w:val="both"/>
        <w:rPr>
          <w:color w:val="000000"/>
          <w:sz w:val="22"/>
          <w:szCs w:val="22"/>
        </w:rPr>
      </w:pPr>
      <w:r>
        <w:rPr>
          <w:color w:val="000000"/>
          <w:sz w:val="22"/>
          <w:szCs w:val="22"/>
        </w:rPr>
        <w:t xml:space="preserve">Contexto normativo de Riesgos Laborales y Sistema Integrado de Gestión. </w:t>
      </w:r>
    </w:p>
    <w:p w14:paraId="2B91B4F1" w14:textId="77777777" w:rsidR="00E73DA9" w:rsidRDefault="0098289F">
      <w:pPr>
        <w:numPr>
          <w:ilvl w:val="0"/>
          <w:numId w:val="2"/>
        </w:numPr>
        <w:pBdr>
          <w:top w:val="nil"/>
          <w:left w:val="nil"/>
          <w:bottom w:val="nil"/>
          <w:right w:val="nil"/>
          <w:between w:val="nil"/>
        </w:pBdr>
        <w:spacing w:line="276" w:lineRule="auto"/>
        <w:ind w:left="0" w:hanging="2"/>
        <w:jc w:val="both"/>
        <w:rPr>
          <w:color w:val="000000"/>
          <w:sz w:val="22"/>
          <w:szCs w:val="22"/>
        </w:rPr>
      </w:pPr>
      <w:r>
        <w:rPr>
          <w:color w:val="000000"/>
          <w:sz w:val="22"/>
          <w:szCs w:val="22"/>
        </w:rPr>
        <w:t>Generalidades de la empresa: Representante legal, responsables del Sistema, ARL, tipos de Riesgo, distribución del Talento Humano y Unidades Operativas.</w:t>
      </w:r>
    </w:p>
    <w:p w14:paraId="0FD74E5B" w14:textId="77777777" w:rsidR="00E73DA9" w:rsidRDefault="0098289F">
      <w:pPr>
        <w:numPr>
          <w:ilvl w:val="0"/>
          <w:numId w:val="2"/>
        </w:numPr>
        <w:pBdr>
          <w:top w:val="nil"/>
          <w:left w:val="nil"/>
          <w:bottom w:val="nil"/>
          <w:right w:val="nil"/>
          <w:between w:val="nil"/>
        </w:pBdr>
        <w:spacing w:line="276" w:lineRule="auto"/>
        <w:ind w:left="0" w:hanging="2"/>
        <w:jc w:val="both"/>
        <w:rPr>
          <w:color w:val="000000"/>
          <w:sz w:val="22"/>
          <w:szCs w:val="22"/>
        </w:rPr>
      </w:pPr>
      <w:r>
        <w:rPr>
          <w:color w:val="000000"/>
          <w:sz w:val="22"/>
          <w:szCs w:val="22"/>
        </w:rPr>
        <w:t>Definición de Peligro, Riesgo, Incidente, Accidente de Trabajo, Enfermedad Laboral.</w:t>
      </w:r>
    </w:p>
    <w:p w14:paraId="51E5B380" w14:textId="77777777" w:rsidR="00E73DA9" w:rsidRDefault="0098289F">
      <w:pPr>
        <w:numPr>
          <w:ilvl w:val="0"/>
          <w:numId w:val="2"/>
        </w:numPr>
        <w:pBdr>
          <w:top w:val="nil"/>
          <w:left w:val="nil"/>
          <w:bottom w:val="nil"/>
          <w:right w:val="nil"/>
          <w:between w:val="nil"/>
        </w:pBdr>
        <w:spacing w:line="276" w:lineRule="auto"/>
        <w:ind w:left="0" w:hanging="2"/>
        <w:jc w:val="both"/>
        <w:rPr>
          <w:color w:val="000000"/>
          <w:sz w:val="22"/>
          <w:szCs w:val="22"/>
        </w:rPr>
      </w:pPr>
      <w:r>
        <w:rPr>
          <w:color w:val="000000"/>
          <w:sz w:val="22"/>
          <w:szCs w:val="22"/>
        </w:rPr>
        <w:t xml:space="preserve">Reporte de Accidente de Trabajo, </w:t>
      </w:r>
      <w:r>
        <w:rPr>
          <w:sz w:val="22"/>
          <w:szCs w:val="22"/>
        </w:rPr>
        <w:t>Auto Reporte</w:t>
      </w:r>
      <w:r>
        <w:rPr>
          <w:color w:val="000000"/>
          <w:sz w:val="22"/>
          <w:szCs w:val="22"/>
        </w:rPr>
        <w:t xml:space="preserve"> de Peligros, Incidentes y condiciones de salud, calificación del origen de la </w:t>
      </w:r>
      <w:r>
        <w:rPr>
          <w:sz w:val="22"/>
          <w:szCs w:val="22"/>
        </w:rPr>
        <w:t>enfermedad</w:t>
      </w:r>
      <w:r>
        <w:rPr>
          <w:color w:val="000000"/>
          <w:sz w:val="22"/>
          <w:szCs w:val="22"/>
        </w:rPr>
        <w:t>.</w:t>
      </w:r>
    </w:p>
    <w:p w14:paraId="74242969" w14:textId="77777777" w:rsidR="00E73DA9" w:rsidRDefault="0098289F">
      <w:pPr>
        <w:numPr>
          <w:ilvl w:val="0"/>
          <w:numId w:val="2"/>
        </w:numPr>
        <w:pBdr>
          <w:top w:val="nil"/>
          <w:left w:val="nil"/>
          <w:bottom w:val="nil"/>
          <w:right w:val="nil"/>
          <w:between w:val="nil"/>
        </w:pBdr>
        <w:spacing w:line="276" w:lineRule="auto"/>
        <w:ind w:left="0" w:hanging="2"/>
        <w:jc w:val="both"/>
        <w:rPr>
          <w:color w:val="000000"/>
          <w:sz w:val="22"/>
          <w:szCs w:val="22"/>
        </w:rPr>
      </w:pPr>
      <w:r>
        <w:rPr>
          <w:color w:val="000000"/>
          <w:sz w:val="22"/>
          <w:szCs w:val="22"/>
        </w:rPr>
        <w:t>Ejercicio de Identificación de Peligros, evaluación y valoración de Riesgos.</w:t>
      </w:r>
    </w:p>
    <w:p w14:paraId="2A55A146" w14:textId="77777777" w:rsidR="00E73DA9" w:rsidRDefault="0098289F">
      <w:pPr>
        <w:numPr>
          <w:ilvl w:val="0"/>
          <w:numId w:val="2"/>
        </w:numPr>
        <w:pBdr>
          <w:top w:val="nil"/>
          <w:left w:val="nil"/>
          <w:bottom w:val="nil"/>
          <w:right w:val="nil"/>
          <w:between w:val="nil"/>
        </w:pBdr>
        <w:spacing w:line="276" w:lineRule="auto"/>
        <w:ind w:left="0" w:hanging="2"/>
        <w:jc w:val="both"/>
        <w:rPr>
          <w:color w:val="000000"/>
          <w:sz w:val="22"/>
          <w:szCs w:val="22"/>
        </w:rPr>
      </w:pPr>
      <w:r>
        <w:rPr>
          <w:color w:val="000000"/>
          <w:sz w:val="22"/>
          <w:szCs w:val="22"/>
        </w:rPr>
        <w:t>Prevención, Preparación y Respuesta a Emergencias.</w:t>
      </w:r>
    </w:p>
    <w:p w14:paraId="3218C549" w14:textId="77777777" w:rsidR="00E73DA9" w:rsidRDefault="0098289F">
      <w:pPr>
        <w:numPr>
          <w:ilvl w:val="0"/>
          <w:numId w:val="2"/>
        </w:numPr>
        <w:pBdr>
          <w:top w:val="nil"/>
          <w:left w:val="nil"/>
          <w:bottom w:val="nil"/>
          <w:right w:val="nil"/>
          <w:between w:val="nil"/>
        </w:pBdr>
        <w:spacing w:line="276" w:lineRule="auto"/>
        <w:ind w:left="0" w:hanging="2"/>
        <w:jc w:val="both"/>
        <w:rPr>
          <w:color w:val="000000"/>
          <w:sz w:val="22"/>
          <w:szCs w:val="22"/>
        </w:rPr>
      </w:pPr>
      <w:r>
        <w:rPr>
          <w:color w:val="000000"/>
          <w:sz w:val="22"/>
          <w:szCs w:val="22"/>
        </w:rPr>
        <w:t>Responsabilidades en Seguridad y Salud.</w:t>
      </w:r>
    </w:p>
    <w:p w14:paraId="7B55469A" w14:textId="77777777" w:rsidR="00E73DA9" w:rsidRDefault="0098289F">
      <w:pPr>
        <w:numPr>
          <w:ilvl w:val="0"/>
          <w:numId w:val="2"/>
        </w:numPr>
        <w:pBdr>
          <w:top w:val="nil"/>
          <w:left w:val="nil"/>
          <w:bottom w:val="nil"/>
          <w:right w:val="nil"/>
          <w:between w:val="nil"/>
        </w:pBdr>
        <w:spacing w:line="276" w:lineRule="auto"/>
        <w:ind w:left="0" w:hanging="2"/>
        <w:jc w:val="both"/>
        <w:rPr>
          <w:color w:val="000000"/>
          <w:sz w:val="22"/>
          <w:szCs w:val="22"/>
        </w:rPr>
      </w:pPr>
      <w:r>
        <w:rPr>
          <w:color w:val="000000"/>
          <w:sz w:val="22"/>
          <w:szCs w:val="22"/>
        </w:rPr>
        <w:t>Lineamientos de SST.</w:t>
      </w:r>
    </w:p>
    <w:p w14:paraId="11826DEC" w14:textId="77777777" w:rsidR="00E73DA9" w:rsidRDefault="0098289F">
      <w:pPr>
        <w:numPr>
          <w:ilvl w:val="0"/>
          <w:numId w:val="2"/>
        </w:numPr>
        <w:pBdr>
          <w:top w:val="nil"/>
          <w:left w:val="nil"/>
          <w:bottom w:val="nil"/>
          <w:right w:val="nil"/>
          <w:between w:val="nil"/>
        </w:pBdr>
        <w:spacing w:line="276" w:lineRule="auto"/>
        <w:ind w:left="0" w:hanging="2"/>
        <w:jc w:val="both"/>
        <w:rPr>
          <w:color w:val="000000"/>
          <w:sz w:val="22"/>
          <w:szCs w:val="22"/>
        </w:rPr>
      </w:pPr>
      <w:r>
        <w:rPr>
          <w:color w:val="000000"/>
          <w:sz w:val="22"/>
          <w:szCs w:val="22"/>
        </w:rPr>
        <w:t>Equipo de COPASST.</w:t>
      </w:r>
    </w:p>
    <w:p w14:paraId="53BFA078" w14:textId="77777777" w:rsidR="00E73DA9" w:rsidRDefault="0098289F">
      <w:pPr>
        <w:numPr>
          <w:ilvl w:val="0"/>
          <w:numId w:val="2"/>
        </w:numPr>
        <w:pBdr>
          <w:top w:val="nil"/>
          <w:left w:val="nil"/>
          <w:bottom w:val="nil"/>
          <w:right w:val="nil"/>
          <w:between w:val="nil"/>
        </w:pBdr>
        <w:spacing w:line="276" w:lineRule="auto"/>
        <w:ind w:left="0" w:hanging="2"/>
        <w:jc w:val="both"/>
        <w:rPr>
          <w:color w:val="000000"/>
          <w:sz w:val="22"/>
          <w:szCs w:val="22"/>
        </w:rPr>
      </w:pPr>
      <w:bookmarkStart w:id="13" w:name="_heading=h.lnxbz9" w:colFirst="0" w:colLast="0"/>
      <w:bookmarkEnd w:id="13"/>
      <w:r>
        <w:rPr>
          <w:color w:val="000000"/>
          <w:sz w:val="22"/>
          <w:szCs w:val="22"/>
        </w:rPr>
        <w:t>Equipo de Comité de Convivencia Laboral.</w:t>
      </w:r>
    </w:p>
    <w:p w14:paraId="797BFC19"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lastRenderedPageBreak/>
        <w:t>4.2.6 Reinducción en SG-SST</w:t>
      </w:r>
    </w:p>
    <w:p w14:paraId="2483497D" w14:textId="77777777" w:rsidR="00E73DA9" w:rsidRDefault="0098289F">
      <w:pPr>
        <w:spacing w:line="276" w:lineRule="auto"/>
        <w:ind w:left="0" w:hanging="2"/>
        <w:jc w:val="both"/>
        <w:rPr>
          <w:sz w:val="22"/>
          <w:szCs w:val="22"/>
        </w:rPr>
      </w:pPr>
      <w:r>
        <w:rPr>
          <w:sz w:val="22"/>
          <w:szCs w:val="22"/>
        </w:rPr>
        <w:t>Cuando se presenten cambios normativos en SST.</w:t>
      </w:r>
    </w:p>
    <w:p w14:paraId="5BA7045E" w14:textId="77777777" w:rsidR="00E73DA9" w:rsidRDefault="0098289F">
      <w:pPr>
        <w:spacing w:line="276" w:lineRule="auto"/>
        <w:ind w:left="0" w:hanging="2"/>
        <w:jc w:val="both"/>
        <w:rPr>
          <w:sz w:val="22"/>
          <w:szCs w:val="22"/>
        </w:rPr>
      </w:pPr>
      <w:bookmarkStart w:id="14" w:name="_heading=h.35nkun2" w:colFirst="0" w:colLast="0"/>
      <w:bookmarkEnd w:id="14"/>
      <w:r>
        <w:rPr>
          <w:sz w:val="22"/>
          <w:szCs w:val="22"/>
        </w:rPr>
        <w:t>Socializar nuevos procedimientos, reglamentos, instructivos o formatos de SST.</w:t>
      </w:r>
    </w:p>
    <w:p w14:paraId="315F80B0"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4.2.7 Capacitación para la Prevención de los Riesgos Laborales</w:t>
      </w:r>
    </w:p>
    <w:p w14:paraId="37D8A10D" w14:textId="77777777" w:rsidR="00E73DA9" w:rsidRDefault="0098289F">
      <w:pPr>
        <w:spacing w:line="276" w:lineRule="auto"/>
        <w:ind w:left="0" w:hanging="2"/>
        <w:jc w:val="both"/>
        <w:rPr>
          <w:sz w:val="22"/>
          <w:szCs w:val="22"/>
        </w:rPr>
      </w:pPr>
      <w:bookmarkStart w:id="15" w:name="_heading=h.1ksv4uv" w:colFirst="0" w:colLast="0"/>
      <w:bookmarkEnd w:id="15"/>
      <w:r>
        <w:rPr>
          <w:sz w:val="22"/>
          <w:szCs w:val="22"/>
        </w:rPr>
        <w:t>Las capacitaciones se desarrollarán por grupos de trabajo y dependencias específicas de acuerdo con el grado de exposición y peligros identificados. Se aplicará una evaluación inicial y al finalizar cada capacitación de los siguientes temas:</w:t>
      </w:r>
    </w:p>
    <w:p w14:paraId="0CA743A5"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4.2.7.1 PVE Control de los Factores de Riesgos Psicosociales</w:t>
      </w:r>
    </w:p>
    <w:p w14:paraId="07DAD534" w14:textId="77777777" w:rsidR="00E73DA9" w:rsidRDefault="0098289F">
      <w:pPr>
        <w:spacing w:line="276" w:lineRule="auto"/>
        <w:ind w:left="0" w:hanging="2"/>
        <w:jc w:val="both"/>
        <w:rPr>
          <w:sz w:val="22"/>
          <w:szCs w:val="22"/>
        </w:rPr>
      </w:pPr>
      <w:r>
        <w:rPr>
          <w:sz w:val="22"/>
          <w:szCs w:val="22"/>
        </w:rPr>
        <w:t>Socializar diagnóstico Batería de Riesgo Psicosocial</w:t>
      </w:r>
    </w:p>
    <w:p w14:paraId="7131F192" w14:textId="77777777" w:rsidR="00E73DA9" w:rsidRDefault="0098289F">
      <w:pPr>
        <w:spacing w:line="276" w:lineRule="auto"/>
        <w:ind w:left="0" w:hanging="2"/>
        <w:jc w:val="both"/>
        <w:rPr>
          <w:sz w:val="22"/>
          <w:szCs w:val="22"/>
        </w:rPr>
      </w:pPr>
      <w:r>
        <w:rPr>
          <w:sz w:val="22"/>
          <w:szCs w:val="22"/>
        </w:rPr>
        <w:t>Intervención individual – Dimensión con riesgo “Muy alto” y “Alto”</w:t>
      </w:r>
    </w:p>
    <w:p w14:paraId="240D6B65" w14:textId="77777777" w:rsidR="00E73DA9" w:rsidRDefault="0098289F">
      <w:pPr>
        <w:spacing w:line="276" w:lineRule="auto"/>
        <w:ind w:left="0" w:hanging="2"/>
        <w:jc w:val="both"/>
        <w:rPr>
          <w:sz w:val="22"/>
          <w:szCs w:val="22"/>
        </w:rPr>
      </w:pPr>
      <w:r>
        <w:rPr>
          <w:sz w:val="22"/>
          <w:szCs w:val="22"/>
        </w:rPr>
        <w:t>Intervención colectiva – Dimensión con riesgo “Muy alto” y “Alto”</w:t>
      </w:r>
    </w:p>
    <w:p w14:paraId="31DDD730" w14:textId="77777777" w:rsidR="00E73DA9" w:rsidRDefault="0098289F">
      <w:pPr>
        <w:spacing w:line="276" w:lineRule="auto"/>
        <w:ind w:left="0" w:hanging="2"/>
        <w:jc w:val="both"/>
        <w:rPr>
          <w:sz w:val="22"/>
          <w:szCs w:val="22"/>
        </w:rPr>
      </w:pPr>
      <w:r>
        <w:rPr>
          <w:sz w:val="22"/>
          <w:szCs w:val="22"/>
        </w:rPr>
        <w:t>Prevención del Estrés, ansiedad, depresión</w:t>
      </w:r>
    </w:p>
    <w:p w14:paraId="26950995" w14:textId="77777777" w:rsidR="00E73DA9" w:rsidRDefault="0098289F">
      <w:pPr>
        <w:spacing w:line="276" w:lineRule="auto"/>
        <w:ind w:left="0" w:hanging="2"/>
        <w:jc w:val="both"/>
        <w:rPr>
          <w:sz w:val="22"/>
          <w:szCs w:val="22"/>
        </w:rPr>
      </w:pPr>
      <w:r>
        <w:rPr>
          <w:sz w:val="22"/>
          <w:szCs w:val="22"/>
        </w:rPr>
        <w:t>Prevención consumo de Sustancias Psicoactivas</w:t>
      </w:r>
    </w:p>
    <w:p w14:paraId="3E9D54FF" w14:textId="77777777" w:rsidR="00E73DA9" w:rsidRDefault="0098289F">
      <w:pPr>
        <w:spacing w:line="276" w:lineRule="auto"/>
        <w:ind w:left="0" w:hanging="2"/>
        <w:jc w:val="both"/>
        <w:rPr>
          <w:sz w:val="22"/>
          <w:szCs w:val="22"/>
        </w:rPr>
      </w:pPr>
      <w:r>
        <w:rPr>
          <w:sz w:val="22"/>
          <w:szCs w:val="22"/>
        </w:rPr>
        <w:t>Factores protectores</w:t>
      </w:r>
    </w:p>
    <w:p w14:paraId="34D2997F" w14:textId="77777777" w:rsidR="00E73DA9" w:rsidRDefault="0098289F">
      <w:pPr>
        <w:spacing w:line="276" w:lineRule="auto"/>
        <w:ind w:left="0" w:hanging="2"/>
        <w:jc w:val="both"/>
        <w:rPr>
          <w:sz w:val="22"/>
          <w:szCs w:val="22"/>
        </w:rPr>
      </w:pPr>
      <w:bookmarkStart w:id="16" w:name="_heading=h.44sinio" w:colFirst="0" w:colLast="0"/>
      <w:bookmarkEnd w:id="16"/>
      <w:r>
        <w:rPr>
          <w:sz w:val="22"/>
          <w:szCs w:val="22"/>
        </w:rPr>
        <w:t>Programa de Vigilancia Epidemiológica para la prevención de Factores de Riesgo Psicosociales (PVE-Psicosocial).</w:t>
      </w:r>
    </w:p>
    <w:p w14:paraId="0E577555"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4.2.7.2 Peligros y Riesgos asociados a desordenes musculo esqueléticos</w:t>
      </w:r>
    </w:p>
    <w:p w14:paraId="4C3CE956" w14:textId="77777777" w:rsidR="00E73DA9" w:rsidRDefault="0098289F">
      <w:pPr>
        <w:spacing w:line="276" w:lineRule="auto"/>
        <w:ind w:left="0" w:hanging="2"/>
        <w:jc w:val="both"/>
        <w:rPr>
          <w:sz w:val="22"/>
          <w:szCs w:val="22"/>
        </w:rPr>
      </w:pPr>
      <w:r>
        <w:rPr>
          <w:sz w:val="22"/>
          <w:szCs w:val="22"/>
        </w:rPr>
        <w:t>Socializar diagnóstico morbilidad sentida</w:t>
      </w:r>
    </w:p>
    <w:p w14:paraId="57D06F91" w14:textId="77777777" w:rsidR="00E73DA9" w:rsidRDefault="0098289F">
      <w:pPr>
        <w:spacing w:line="276" w:lineRule="auto"/>
        <w:ind w:left="0" w:hanging="2"/>
        <w:jc w:val="both"/>
        <w:rPr>
          <w:sz w:val="22"/>
          <w:szCs w:val="22"/>
        </w:rPr>
      </w:pPr>
      <w:r>
        <w:rPr>
          <w:sz w:val="22"/>
          <w:szCs w:val="22"/>
        </w:rPr>
        <w:t>Inspección a puestos de trabajo</w:t>
      </w:r>
    </w:p>
    <w:p w14:paraId="7254FA05" w14:textId="77777777" w:rsidR="00E73DA9" w:rsidRDefault="0098289F">
      <w:pPr>
        <w:spacing w:line="276" w:lineRule="auto"/>
        <w:ind w:left="0" w:hanging="2"/>
        <w:jc w:val="both"/>
        <w:rPr>
          <w:sz w:val="22"/>
          <w:szCs w:val="22"/>
        </w:rPr>
      </w:pPr>
      <w:r>
        <w:rPr>
          <w:sz w:val="22"/>
          <w:szCs w:val="22"/>
        </w:rPr>
        <w:t>Carga física y carga estática</w:t>
      </w:r>
    </w:p>
    <w:p w14:paraId="410884AF" w14:textId="77777777" w:rsidR="00E73DA9" w:rsidRDefault="0098289F">
      <w:pPr>
        <w:spacing w:line="276" w:lineRule="auto"/>
        <w:ind w:left="0" w:hanging="2"/>
        <w:jc w:val="both"/>
        <w:rPr>
          <w:sz w:val="22"/>
          <w:szCs w:val="22"/>
        </w:rPr>
      </w:pPr>
      <w:r>
        <w:rPr>
          <w:sz w:val="22"/>
          <w:szCs w:val="22"/>
        </w:rPr>
        <w:t>Movimientos repetitivos miembros superiores</w:t>
      </w:r>
    </w:p>
    <w:p w14:paraId="7ED6F294" w14:textId="77777777" w:rsidR="00E73DA9" w:rsidRDefault="0098289F">
      <w:pPr>
        <w:spacing w:line="276" w:lineRule="auto"/>
        <w:ind w:left="0" w:hanging="2"/>
        <w:jc w:val="both"/>
        <w:rPr>
          <w:sz w:val="22"/>
          <w:szCs w:val="22"/>
        </w:rPr>
      </w:pPr>
      <w:r>
        <w:rPr>
          <w:sz w:val="22"/>
          <w:szCs w:val="22"/>
        </w:rPr>
        <w:t>Posturas saludables</w:t>
      </w:r>
    </w:p>
    <w:p w14:paraId="17252323" w14:textId="77777777" w:rsidR="00E73DA9" w:rsidRDefault="0098289F">
      <w:pPr>
        <w:spacing w:line="276" w:lineRule="auto"/>
        <w:ind w:left="0" w:hanging="2"/>
        <w:jc w:val="both"/>
        <w:rPr>
          <w:sz w:val="22"/>
          <w:szCs w:val="22"/>
        </w:rPr>
      </w:pPr>
      <w:r>
        <w:rPr>
          <w:sz w:val="22"/>
          <w:szCs w:val="22"/>
        </w:rPr>
        <w:t>Taller de pausa Activa</w:t>
      </w:r>
    </w:p>
    <w:p w14:paraId="06C1A380" w14:textId="77777777" w:rsidR="00E73DA9" w:rsidRDefault="0098289F">
      <w:pPr>
        <w:spacing w:line="276" w:lineRule="auto"/>
        <w:ind w:left="0" w:hanging="2"/>
        <w:jc w:val="both"/>
        <w:rPr>
          <w:sz w:val="22"/>
          <w:szCs w:val="22"/>
        </w:rPr>
      </w:pPr>
      <w:bookmarkStart w:id="17" w:name="_heading=h.2jxsxqh" w:colFirst="0" w:colLast="0"/>
      <w:bookmarkEnd w:id="17"/>
      <w:r>
        <w:rPr>
          <w:sz w:val="22"/>
          <w:szCs w:val="22"/>
        </w:rPr>
        <w:t>Programa de Vigilancia Epidemiológica para la prevención de los Desórdenes Músculo Esqueléticos (PVE-DME).</w:t>
      </w:r>
    </w:p>
    <w:p w14:paraId="4DAA184D"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4.2.7.3 Peligros y Riesgos Biológicos</w:t>
      </w:r>
    </w:p>
    <w:p w14:paraId="117321A9" w14:textId="77777777" w:rsidR="00E73DA9" w:rsidRDefault="0098289F">
      <w:pPr>
        <w:spacing w:line="276" w:lineRule="auto"/>
        <w:ind w:left="0" w:hanging="2"/>
        <w:jc w:val="both"/>
        <w:rPr>
          <w:sz w:val="22"/>
          <w:szCs w:val="22"/>
        </w:rPr>
      </w:pPr>
      <w:r>
        <w:rPr>
          <w:sz w:val="22"/>
          <w:szCs w:val="22"/>
        </w:rPr>
        <w:t>Socialización inventario de Virus, Hongos y Bacterias identificados.</w:t>
      </w:r>
    </w:p>
    <w:p w14:paraId="08DF0227" w14:textId="77777777" w:rsidR="00E73DA9" w:rsidRDefault="0098289F">
      <w:pPr>
        <w:spacing w:line="276" w:lineRule="auto"/>
        <w:ind w:left="0" w:hanging="2"/>
        <w:jc w:val="both"/>
        <w:rPr>
          <w:sz w:val="22"/>
          <w:szCs w:val="22"/>
        </w:rPr>
      </w:pPr>
      <w:r>
        <w:rPr>
          <w:sz w:val="22"/>
          <w:szCs w:val="22"/>
        </w:rPr>
        <w:t>Programa de Gestión para la Prevención de los Factores de Riesgo Biológicos.</w:t>
      </w:r>
    </w:p>
    <w:p w14:paraId="6E6236A8" w14:textId="77777777" w:rsidR="00E73DA9" w:rsidRDefault="0098289F">
      <w:pPr>
        <w:spacing w:line="276" w:lineRule="auto"/>
        <w:ind w:left="0" w:hanging="2"/>
        <w:jc w:val="both"/>
        <w:rPr>
          <w:sz w:val="22"/>
          <w:szCs w:val="22"/>
        </w:rPr>
      </w:pPr>
      <w:r>
        <w:rPr>
          <w:sz w:val="22"/>
          <w:szCs w:val="22"/>
        </w:rPr>
        <w:t>Protocolo por accidente con riesgo Biológico.</w:t>
      </w:r>
    </w:p>
    <w:p w14:paraId="48D7B67A" w14:textId="77777777" w:rsidR="00E73DA9" w:rsidRDefault="0098289F">
      <w:pPr>
        <w:spacing w:line="276" w:lineRule="auto"/>
        <w:ind w:left="0" w:hanging="2"/>
        <w:jc w:val="both"/>
        <w:rPr>
          <w:sz w:val="22"/>
          <w:szCs w:val="22"/>
        </w:rPr>
      </w:pPr>
      <w:r>
        <w:rPr>
          <w:sz w:val="22"/>
          <w:szCs w:val="22"/>
        </w:rPr>
        <w:lastRenderedPageBreak/>
        <w:t>Inmunización específica por exposición.</w:t>
      </w:r>
    </w:p>
    <w:p w14:paraId="16805272" w14:textId="77777777" w:rsidR="00E73DA9" w:rsidRDefault="0098289F">
      <w:pPr>
        <w:spacing w:line="276" w:lineRule="auto"/>
        <w:ind w:left="0" w:hanging="2"/>
        <w:jc w:val="both"/>
        <w:rPr>
          <w:sz w:val="22"/>
          <w:szCs w:val="22"/>
        </w:rPr>
      </w:pPr>
      <w:r>
        <w:rPr>
          <w:sz w:val="22"/>
          <w:szCs w:val="22"/>
        </w:rPr>
        <w:t>Protocolo lavado de manos.</w:t>
      </w:r>
    </w:p>
    <w:p w14:paraId="53E79703" w14:textId="77777777" w:rsidR="00E73DA9" w:rsidRDefault="0098289F">
      <w:pPr>
        <w:spacing w:line="276" w:lineRule="auto"/>
        <w:ind w:left="0" w:hanging="2"/>
        <w:jc w:val="both"/>
        <w:rPr>
          <w:sz w:val="22"/>
          <w:szCs w:val="22"/>
        </w:rPr>
      </w:pPr>
      <w:r>
        <w:rPr>
          <w:sz w:val="22"/>
          <w:szCs w:val="22"/>
        </w:rPr>
        <w:t>Protocolo de uso seguro de Elementos de Protección Personal (EPP).</w:t>
      </w:r>
    </w:p>
    <w:p w14:paraId="76991F62" w14:textId="77777777" w:rsidR="00E73DA9" w:rsidRDefault="0098289F">
      <w:pPr>
        <w:spacing w:line="276" w:lineRule="auto"/>
        <w:ind w:left="0" w:hanging="2"/>
        <w:jc w:val="both"/>
        <w:rPr>
          <w:sz w:val="22"/>
          <w:szCs w:val="22"/>
        </w:rPr>
      </w:pPr>
      <w:bookmarkStart w:id="18" w:name="_heading=h.z337ya" w:colFirst="0" w:colLast="0"/>
      <w:bookmarkEnd w:id="18"/>
      <w:r>
        <w:rPr>
          <w:sz w:val="22"/>
          <w:szCs w:val="22"/>
        </w:rPr>
        <w:t>Matriz de EPP.</w:t>
      </w:r>
    </w:p>
    <w:p w14:paraId="6B55F5E0"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4.2.7.4 Peligros y Riesgos Químicos</w:t>
      </w:r>
    </w:p>
    <w:p w14:paraId="5BC67534" w14:textId="77777777" w:rsidR="00E73DA9" w:rsidRDefault="0098289F">
      <w:pPr>
        <w:spacing w:line="276" w:lineRule="auto"/>
        <w:ind w:left="0" w:hanging="2"/>
        <w:jc w:val="both"/>
        <w:rPr>
          <w:sz w:val="22"/>
          <w:szCs w:val="22"/>
        </w:rPr>
      </w:pPr>
      <w:r>
        <w:rPr>
          <w:sz w:val="22"/>
          <w:szCs w:val="22"/>
        </w:rPr>
        <w:t>Socialización inventario de sustancias químicas.</w:t>
      </w:r>
    </w:p>
    <w:p w14:paraId="678B3C35" w14:textId="77777777" w:rsidR="00E73DA9" w:rsidRDefault="0098289F">
      <w:pPr>
        <w:spacing w:line="276" w:lineRule="auto"/>
        <w:ind w:left="0" w:hanging="2"/>
        <w:jc w:val="both"/>
        <w:rPr>
          <w:sz w:val="22"/>
          <w:szCs w:val="22"/>
        </w:rPr>
      </w:pPr>
      <w:r>
        <w:rPr>
          <w:sz w:val="22"/>
          <w:szCs w:val="22"/>
        </w:rPr>
        <w:t>Programa de Gestión para la Prevención de los Factores de Riesgo Químicos.</w:t>
      </w:r>
    </w:p>
    <w:p w14:paraId="6391A1CE" w14:textId="77777777" w:rsidR="00E73DA9" w:rsidRDefault="0098289F">
      <w:pPr>
        <w:spacing w:line="276" w:lineRule="auto"/>
        <w:ind w:left="0" w:hanging="2"/>
        <w:jc w:val="both"/>
        <w:rPr>
          <w:sz w:val="22"/>
          <w:szCs w:val="22"/>
        </w:rPr>
      </w:pPr>
      <w:r>
        <w:rPr>
          <w:sz w:val="22"/>
          <w:szCs w:val="22"/>
        </w:rPr>
        <w:t>Protocolo de respuesta ante emergencias por derrames de sustancias químicas.</w:t>
      </w:r>
    </w:p>
    <w:p w14:paraId="64F952E5" w14:textId="77777777" w:rsidR="00E73DA9" w:rsidRDefault="0098289F">
      <w:pPr>
        <w:spacing w:line="276" w:lineRule="auto"/>
        <w:ind w:left="0" w:hanging="2"/>
        <w:jc w:val="both"/>
        <w:rPr>
          <w:sz w:val="22"/>
          <w:szCs w:val="22"/>
        </w:rPr>
      </w:pPr>
      <w:r>
        <w:rPr>
          <w:sz w:val="22"/>
          <w:szCs w:val="22"/>
        </w:rPr>
        <w:t>Protocolo de Uso seguro de Elementos de Protección Personal (EPP).</w:t>
      </w:r>
    </w:p>
    <w:p w14:paraId="4BEE0D15" w14:textId="77777777" w:rsidR="00E73DA9" w:rsidRDefault="0098289F">
      <w:pPr>
        <w:spacing w:line="276" w:lineRule="auto"/>
        <w:ind w:left="0" w:hanging="2"/>
        <w:jc w:val="both"/>
        <w:rPr>
          <w:sz w:val="22"/>
          <w:szCs w:val="22"/>
        </w:rPr>
      </w:pPr>
      <w:bookmarkStart w:id="19" w:name="_heading=h.3j2qqm3" w:colFirst="0" w:colLast="0"/>
      <w:bookmarkEnd w:id="19"/>
      <w:r>
        <w:rPr>
          <w:sz w:val="22"/>
          <w:szCs w:val="22"/>
        </w:rPr>
        <w:t>Matriz de EPP.</w:t>
      </w:r>
    </w:p>
    <w:p w14:paraId="0678BC11"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4.2.7.5 Peligros y Riesgos Públicos</w:t>
      </w:r>
    </w:p>
    <w:p w14:paraId="60D39F0E" w14:textId="77777777" w:rsidR="00E73DA9" w:rsidRDefault="0098289F">
      <w:pPr>
        <w:spacing w:line="276" w:lineRule="auto"/>
        <w:ind w:left="0" w:hanging="2"/>
        <w:jc w:val="both"/>
        <w:rPr>
          <w:sz w:val="22"/>
          <w:szCs w:val="22"/>
        </w:rPr>
      </w:pPr>
      <w:r>
        <w:rPr>
          <w:sz w:val="22"/>
          <w:szCs w:val="22"/>
        </w:rPr>
        <w:t>Socialización de los Factores de Riesgo Público.</w:t>
      </w:r>
    </w:p>
    <w:p w14:paraId="3189D5D8" w14:textId="77777777" w:rsidR="00E73DA9" w:rsidRDefault="0098289F">
      <w:pPr>
        <w:spacing w:line="276" w:lineRule="auto"/>
        <w:ind w:left="0" w:hanging="2"/>
        <w:jc w:val="both"/>
        <w:rPr>
          <w:sz w:val="22"/>
          <w:szCs w:val="22"/>
        </w:rPr>
      </w:pPr>
      <w:r>
        <w:rPr>
          <w:sz w:val="22"/>
          <w:szCs w:val="22"/>
        </w:rPr>
        <w:t>Programa de Gestión para la Prevención de los Factores de Riesgo Público.</w:t>
      </w:r>
    </w:p>
    <w:p w14:paraId="0FDD9FAE" w14:textId="77777777" w:rsidR="00E73DA9" w:rsidRDefault="0098289F">
      <w:pPr>
        <w:spacing w:line="276" w:lineRule="auto"/>
        <w:ind w:left="0" w:hanging="2"/>
        <w:jc w:val="both"/>
        <w:rPr>
          <w:sz w:val="22"/>
          <w:szCs w:val="22"/>
        </w:rPr>
      </w:pPr>
      <w:bookmarkStart w:id="20" w:name="_heading=h.1y810tw" w:colFirst="0" w:colLast="0"/>
      <w:bookmarkEnd w:id="20"/>
      <w:r>
        <w:rPr>
          <w:sz w:val="22"/>
          <w:szCs w:val="22"/>
        </w:rPr>
        <w:t>Recomendaciones ante posibles eventos de atraco y seguridad vial.</w:t>
      </w:r>
    </w:p>
    <w:p w14:paraId="44439261"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4.2.7.6 Peligros y Riesgos Físicos</w:t>
      </w:r>
    </w:p>
    <w:p w14:paraId="6F53679B" w14:textId="77777777" w:rsidR="00E73DA9" w:rsidRDefault="0098289F">
      <w:pPr>
        <w:spacing w:line="276" w:lineRule="auto"/>
        <w:ind w:left="0" w:hanging="2"/>
        <w:jc w:val="both"/>
        <w:rPr>
          <w:sz w:val="22"/>
          <w:szCs w:val="22"/>
        </w:rPr>
      </w:pPr>
      <w:r>
        <w:rPr>
          <w:sz w:val="22"/>
          <w:szCs w:val="22"/>
        </w:rPr>
        <w:t>Ruido</w:t>
      </w:r>
    </w:p>
    <w:p w14:paraId="6DBA9360" w14:textId="77777777" w:rsidR="00E73DA9" w:rsidRDefault="0098289F">
      <w:pPr>
        <w:spacing w:line="276" w:lineRule="auto"/>
        <w:ind w:left="0" w:hanging="2"/>
        <w:jc w:val="both"/>
        <w:rPr>
          <w:sz w:val="22"/>
          <w:szCs w:val="22"/>
        </w:rPr>
      </w:pPr>
      <w:r>
        <w:rPr>
          <w:sz w:val="22"/>
          <w:szCs w:val="22"/>
        </w:rPr>
        <w:t>Iluminación</w:t>
      </w:r>
    </w:p>
    <w:p w14:paraId="29B4C3A3" w14:textId="77777777" w:rsidR="00E73DA9" w:rsidRDefault="0098289F">
      <w:pPr>
        <w:spacing w:line="276" w:lineRule="auto"/>
        <w:ind w:left="0" w:hanging="2"/>
        <w:jc w:val="both"/>
        <w:rPr>
          <w:sz w:val="22"/>
          <w:szCs w:val="22"/>
        </w:rPr>
      </w:pPr>
      <w:r>
        <w:rPr>
          <w:sz w:val="22"/>
          <w:szCs w:val="22"/>
        </w:rPr>
        <w:t>Ventilación</w:t>
      </w:r>
    </w:p>
    <w:p w14:paraId="16C1FE23" w14:textId="77777777" w:rsidR="00E73DA9" w:rsidRDefault="0098289F">
      <w:pPr>
        <w:spacing w:line="276" w:lineRule="auto"/>
        <w:ind w:left="0" w:hanging="2"/>
        <w:jc w:val="both"/>
        <w:rPr>
          <w:sz w:val="22"/>
          <w:szCs w:val="22"/>
        </w:rPr>
      </w:pPr>
      <w:r>
        <w:rPr>
          <w:sz w:val="22"/>
          <w:szCs w:val="22"/>
        </w:rPr>
        <w:t>Radiación (Ionizante, No ionizante, estática)</w:t>
      </w:r>
    </w:p>
    <w:p w14:paraId="2B3F47DA" w14:textId="77777777" w:rsidR="00E73DA9" w:rsidRDefault="0098289F">
      <w:pPr>
        <w:spacing w:line="276" w:lineRule="auto"/>
        <w:ind w:left="0" w:hanging="2"/>
        <w:jc w:val="both"/>
        <w:rPr>
          <w:sz w:val="22"/>
          <w:szCs w:val="22"/>
        </w:rPr>
      </w:pPr>
      <w:bookmarkStart w:id="21" w:name="_heading=h.4i7ojhp" w:colFirst="0" w:colLast="0"/>
      <w:bookmarkEnd w:id="21"/>
      <w:r>
        <w:rPr>
          <w:sz w:val="22"/>
          <w:szCs w:val="22"/>
        </w:rPr>
        <w:t>Vibración</w:t>
      </w:r>
    </w:p>
    <w:p w14:paraId="1F55C183" w14:textId="77777777" w:rsidR="00061C3F" w:rsidRDefault="00061C3F">
      <w:pPr>
        <w:spacing w:line="276" w:lineRule="auto"/>
        <w:ind w:left="0" w:hanging="2"/>
        <w:jc w:val="both"/>
        <w:rPr>
          <w:sz w:val="22"/>
          <w:szCs w:val="22"/>
        </w:rPr>
      </w:pPr>
    </w:p>
    <w:p w14:paraId="35B44672"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4.2.7.7 Peligros y Riesgos de Seguridad</w:t>
      </w:r>
    </w:p>
    <w:p w14:paraId="5FFF4B7E" w14:textId="77777777" w:rsidR="00E73DA9" w:rsidRDefault="0098289F">
      <w:pPr>
        <w:spacing w:line="276" w:lineRule="auto"/>
        <w:ind w:left="0" w:hanging="2"/>
        <w:jc w:val="both"/>
        <w:rPr>
          <w:sz w:val="22"/>
          <w:szCs w:val="22"/>
        </w:rPr>
      </w:pPr>
      <w:r>
        <w:rPr>
          <w:sz w:val="22"/>
          <w:szCs w:val="22"/>
        </w:rPr>
        <w:t>Eléctricos (Baja, media y alta tensión)</w:t>
      </w:r>
    </w:p>
    <w:p w14:paraId="600016EF" w14:textId="77777777" w:rsidR="00E73DA9" w:rsidRDefault="0098289F">
      <w:pPr>
        <w:spacing w:line="276" w:lineRule="auto"/>
        <w:ind w:left="0" w:hanging="2"/>
        <w:jc w:val="both"/>
        <w:rPr>
          <w:sz w:val="22"/>
          <w:szCs w:val="22"/>
        </w:rPr>
      </w:pPr>
      <w:r>
        <w:rPr>
          <w:sz w:val="22"/>
          <w:szCs w:val="22"/>
        </w:rPr>
        <w:t>Físico-Químico (Incendio y Explosión)</w:t>
      </w:r>
    </w:p>
    <w:p w14:paraId="7E7CB9D1" w14:textId="77777777" w:rsidR="00E73DA9" w:rsidRDefault="0098289F">
      <w:pPr>
        <w:spacing w:line="276" w:lineRule="auto"/>
        <w:ind w:left="0" w:hanging="2"/>
        <w:jc w:val="both"/>
        <w:rPr>
          <w:sz w:val="22"/>
          <w:szCs w:val="22"/>
        </w:rPr>
      </w:pPr>
      <w:r>
        <w:rPr>
          <w:sz w:val="22"/>
          <w:szCs w:val="22"/>
        </w:rPr>
        <w:t>Mecánicos</w:t>
      </w:r>
    </w:p>
    <w:p w14:paraId="11F195D1" w14:textId="77777777" w:rsidR="00E73DA9" w:rsidRDefault="0098289F">
      <w:pPr>
        <w:spacing w:line="276" w:lineRule="auto"/>
        <w:ind w:left="0" w:hanging="2"/>
        <w:jc w:val="both"/>
        <w:rPr>
          <w:sz w:val="22"/>
          <w:szCs w:val="22"/>
        </w:rPr>
      </w:pPr>
      <w:r>
        <w:rPr>
          <w:sz w:val="22"/>
          <w:szCs w:val="22"/>
        </w:rPr>
        <w:t>Locativos</w:t>
      </w:r>
    </w:p>
    <w:p w14:paraId="7C0D3562" w14:textId="77777777" w:rsidR="00E73DA9" w:rsidRDefault="0098289F">
      <w:pPr>
        <w:spacing w:line="276" w:lineRule="auto"/>
        <w:ind w:left="0" w:hanging="2"/>
        <w:jc w:val="both"/>
        <w:rPr>
          <w:sz w:val="22"/>
          <w:szCs w:val="22"/>
        </w:rPr>
      </w:pPr>
      <w:r>
        <w:rPr>
          <w:sz w:val="22"/>
          <w:szCs w:val="22"/>
        </w:rPr>
        <w:t>Caída de Hombre al agua</w:t>
      </w:r>
    </w:p>
    <w:p w14:paraId="21C5F53A" w14:textId="77777777" w:rsidR="00E73DA9" w:rsidRDefault="0098289F">
      <w:pPr>
        <w:spacing w:line="276" w:lineRule="auto"/>
        <w:ind w:left="0" w:hanging="2"/>
        <w:jc w:val="both"/>
        <w:rPr>
          <w:sz w:val="22"/>
          <w:szCs w:val="22"/>
        </w:rPr>
      </w:pPr>
      <w:r>
        <w:rPr>
          <w:sz w:val="22"/>
          <w:szCs w:val="22"/>
        </w:rPr>
        <w:t>Espacios confinados</w:t>
      </w:r>
    </w:p>
    <w:p w14:paraId="425D7907" w14:textId="77777777" w:rsidR="00E73DA9" w:rsidRDefault="0098289F">
      <w:pPr>
        <w:spacing w:line="276" w:lineRule="auto"/>
        <w:ind w:left="0" w:hanging="2"/>
        <w:jc w:val="both"/>
        <w:rPr>
          <w:sz w:val="22"/>
          <w:szCs w:val="22"/>
        </w:rPr>
      </w:pPr>
      <w:bookmarkStart w:id="22" w:name="_heading=h.2xcytpi" w:colFirst="0" w:colLast="0"/>
      <w:bookmarkEnd w:id="22"/>
      <w:r>
        <w:rPr>
          <w:sz w:val="22"/>
          <w:szCs w:val="22"/>
        </w:rPr>
        <w:t>Orden y Aseo</w:t>
      </w:r>
    </w:p>
    <w:p w14:paraId="16F8DBE9"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lastRenderedPageBreak/>
        <w:t>4.2.7.8 Prevención, Preparación y Respuesta a Emergencias</w:t>
      </w:r>
    </w:p>
    <w:p w14:paraId="64192F5E" w14:textId="77777777" w:rsidR="00E73DA9" w:rsidRDefault="0098289F">
      <w:pPr>
        <w:spacing w:line="276" w:lineRule="auto"/>
        <w:ind w:left="0" w:hanging="2"/>
        <w:jc w:val="both"/>
        <w:rPr>
          <w:sz w:val="22"/>
          <w:szCs w:val="22"/>
        </w:rPr>
      </w:pPr>
      <w:r>
        <w:rPr>
          <w:sz w:val="22"/>
          <w:szCs w:val="22"/>
        </w:rPr>
        <w:t>Socialización del Plan de Emergencias y Contingencias.</w:t>
      </w:r>
    </w:p>
    <w:p w14:paraId="353B0C0E" w14:textId="77777777" w:rsidR="00E73DA9" w:rsidRDefault="0098289F">
      <w:pPr>
        <w:spacing w:line="276" w:lineRule="auto"/>
        <w:ind w:left="0" w:hanging="2"/>
        <w:jc w:val="both"/>
        <w:rPr>
          <w:sz w:val="22"/>
          <w:szCs w:val="22"/>
        </w:rPr>
      </w:pPr>
      <w:r>
        <w:rPr>
          <w:sz w:val="22"/>
          <w:szCs w:val="22"/>
        </w:rPr>
        <w:t>Ruta de evacuación y puntos de Encuentro.</w:t>
      </w:r>
    </w:p>
    <w:p w14:paraId="354A45EF" w14:textId="77777777" w:rsidR="00E73DA9" w:rsidRDefault="0098289F">
      <w:pPr>
        <w:spacing w:line="276" w:lineRule="auto"/>
        <w:ind w:left="0" w:hanging="2"/>
        <w:jc w:val="both"/>
        <w:rPr>
          <w:sz w:val="22"/>
          <w:szCs w:val="22"/>
        </w:rPr>
      </w:pPr>
      <w:r>
        <w:rPr>
          <w:sz w:val="22"/>
          <w:szCs w:val="22"/>
        </w:rPr>
        <w:t>Socialización de los Planes de Acción en Emergencias.</w:t>
      </w:r>
    </w:p>
    <w:p w14:paraId="7D69BB49" w14:textId="77777777" w:rsidR="00E73DA9" w:rsidRDefault="0098289F">
      <w:pPr>
        <w:spacing w:line="276" w:lineRule="auto"/>
        <w:ind w:left="0" w:hanging="2"/>
        <w:jc w:val="both"/>
        <w:rPr>
          <w:sz w:val="22"/>
          <w:szCs w:val="22"/>
        </w:rPr>
      </w:pPr>
      <w:r>
        <w:rPr>
          <w:sz w:val="22"/>
          <w:szCs w:val="22"/>
        </w:rPr>
        <w:t>Simulacros</w:t>
      </w:r>
    </w:p>
    <w:p w14:paraId="5C42DB13" w14:textId="77777777" w:rsidR="00E73DA9" w:rsidRDefault="0098289F">
      <w:pPr>
        <w:spacing w:line="276" w:lineRule="auto"/>
        <w:ind w:left="0" w:hanging="2"/>
        <w:jc w:val="both"/>
        <w:rPr>
          <w:sz w:val="22"/>
          <w:szCs w:val="22"/>
        </w:rPr>
      </w:pPr>
      <w:bookmarkStart w:id="23" w:name="_heading=h.1ci93xb" w:colFirst="0" w:colLast="0"/>
      <w:bookmarkEnd w:id="23"/>
      <w:r>
        <w:rPr>
          <w:sz w:val="22"/>
          <w:szCs w:val="22"/>
        </w:rPr>
        <w:t>Integrantes y ubicación del Comité y Brigadas de Emergencias.</w:t>
      </w:r>
    </w:p>
    <w:p w14:paraId="0BDB55FA"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4.2.7.9 Comités de SST y Gestores de Talento Humano</w:t>
      </w:r>
    </w:p>
    <w:p w14:paraId="787E04C6" w14:textId="77777777" w:rsidR="00E73DA9" w:rsidRDefault="0098289F">
      <w:pPr>
        <w:spacing w:line="276" w:lineRule="auto"/>
        <w:ind w:left="0" w:hanging="2"/>
        <w:jc w:val="both"/>
        <w:rPr>
          <w:sz w:val="22"/>
          <w:szCs w:val="22"/>
        </w:rPr>
      </w:pPr>
      <w:r>
        <w:rPr>
          <w:sz w:val="22"/>
          <w:szCs w:val="22"/>
        </w:rPr>
        <w:t>Comité Paritario de Seguridad y Salud en el Trabajo</w:t>
      </w:r>
    </w:p>
    <w:p w14:paraId="158A1F89" w14:textId="77777777" w:rsidR="00E73DA9" w:rsidRDefault="0098289F">
      <w:pPr>
        <w:spacing w:line="276" w:lineRule="auto"/>
        <w:ind w:left="0" w:hanging="2"/>
        <w:jc w:val="both"/>
        <w:rPr>
          <w:sz w:val="22"/>
          <w:szCs w:val="22"/>
        </w:rPr>
      </w:pPr>
      <w:r>
        <w:rPr>
          <w:sz w:val="22"/>
          <w:szCs w:val="22"/>
        </w:rPr>
        <w:t>Comité de Convivencia Laboral</w:t>
      </w:r>
    </w:p>
    <w:p w14:paraId="6EE88B21" w14:textId="77777777" w:rsidR="00E73DA9" w:rsidRDefault="0098289F">
      <w:pPr>
        <w:spacing w:line="276" w:lineRule="auto"/>
        <w:ind w:left="0" w:hanging="2"/>
        <w:jc w:val="both"/>
        <w:rPr>
          <w:sz w:val="22"/>
          <w:szCs w:val="22"/>
        </w:rPr>
      </w:pPr>
      <w:r>
        <w:rPr>
          <w:sz w:val="22"/>
          <w:szCs w:val="22"/>
        </w:rPr>
        <w:t>Comité de Emergencias</w:t>
      </w:r>
    </w:p>
    <w:p w14:paraId="6A2E7250" w14:textId="77777777" w:rsidR="00E73DA9" w:rsidRDefault="0098289F">
      <w:pPr>
        <w:spacing w:line="276" w:lineRule="auto"/>
        <w:ind w:left="0" w:hanging="2"/>
        <w:jc w:val="both"/>
        <w:rPr>
          <w:sz w:val="22"/>
          <w:szCs w:val="22"/>
        </w:rPr>
      </w:pPr>
      <w:bookmarkStart w:id="24" w:name="_heading=h.3whwml4" w:colFirst="0" w:colLast="0"/>
      <w:bookmarkEnd w:id="24"/>
      <w:r>
        <w:rPr>
          <w:sz w:val="22"/>
          <w:szCs w:val="22"/>
        </w:rPr>
        <w:t>Gestores de Talento Humano</w:t>
      </w:r>
    </w:p>
    <w:p w14:paraId="12E454B0"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4.3. Entrenamiento en el Puesto de Trabajo</w:t>
      </w:r>
    </w:p>
    <w:p w14:paraId="5C918D72" w14:textId="77777777" w:rsidR="00E73DA9" w:rsidRDefault="0098289F">
      <w:pPr>
        <w:spacing w:line="276" w:lineRule="auto"/>
        <w:ind w:left="0" w:hanging="2"/>
        <w:jc w:val="both"/>
        <w:rPr>
          <w:sz w:val="22"/>
          <w:szCs w:val="22"/>
        </w:rPr>
      </w:pPr>
      <w:r>
        <w:rPr>
          <w:sz w:val="22"/>
          <w:szCs w:val="22"/>
        </w:rPr>
        <w:t>El objetivo de este entrenamiento es orientar al nuevo trabajador o contratista sobre cómo hacer su trabajo en el marco de los procedimientos establecidos con seguridad y eficiencia desde el momento en que inicie sus labores, así como brindarle toda la información necesaria para que pueda desarrollar sus habilidades y destrezas y desempeñar su trabajo con estándares de calidad, productividad y seguridad.</w:t>
      </w:r>
    </w:p>
    <w:p w14:paraId="56EC4061" w14:textId="77777777" w:rsidR="00E73DA9" w:rsidRDefault="00E73DA9">
      <w:pPr>
        <w:spacing w:line="276" w:lineRule="auto"/>
        <w:ind w:left="0" w:hanging="2"/>
        <w:jc w:val="both"/>
        <w:rPr>
          <w:sz w:val="22"/>
          <w:szCs w:val="22"/>
        </w:rPr>
      </w:pPr>
    </w:p>
    <w:p w14:paraId="406EADA4" w14:textId="77777777" w:rsidR="00E73DA9" w:rsidRDefault="0098289F">
      <w:pPr>
        <w:spacing w:line="276" w:lineRule="auto"/>
        <w:ind w:left="0" w:hanging="2"/>
        <w:jc w:val="both"/>
        <w:rPr>
          <w:sz w:val="22"/>
          <w:szCs w:val="22"/>
        </w:rPr>
      </w:pPr>
      <w:r>
        <w:rPr>
          <w:sz w:val="22"/>
          <w:szCs w:val="22"/>
        </w:rPr>
        <w:t>El entrenamiento se desarrollará por tardar, dentro de los treinta (30) días hábiles de la formalización de su vinculación.</w:t>
      </w:r>
    </w:p>
    <w:p w14:paraId="710855B3" w14:textId="77777777" w:rsidR="00E73DA9" w:rsidRDefault="0098289F">
      <w:pPr>
        <w:spacing w:line="276" w:lineRule="auto"/>
        <w:ind w:left="0" w:hanging="2"/>
        <w:jc w:val="both"/>
        <w:rPr>
          <w:sz w:val="22"/>
          <w:szCs w:val="22"/>
        </w:rPr>
      </w:pPr>
      <w:bookmarkStart w:id="25" w:name="_heading=h.2bn6wsx" w:colFirst="0" w:colLast="0"/>
      <w:bookmarkEnd w:id="25"/>
      <w:r>
        <w:rPr>
          <w:sz w:val="22"/>
          <w:szCs w:val="22"/>
        </w:rPr>
        <w:t>Durante el entrenamiento en el puesto de trabajo, el jefe Inmediato, Gestor de Talento Humano o Coordinador de Grupo le indicará al nuevo colaborador, los Peligros y Riesgos a los que se verá expuesto durante la ejecución de su labor, con base en el Reglamento de Higiene y Seguridad Industrial y los mecanismos para su prevención y Auto Reporte, dejando la respectiva evidencia.</w:t>
      </w:r>
    </w:p>
    <w:p w14:paraId="67CCAE29"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r>
        <w:rPr>
          <w:b/>
          <w:color w:val="000000"/>
          <w:sz w:val="22"/>
          <w:szCs w:val="22"/>
        </w:rPr>
        <w:t>4.4. Evaluaciones</w:t>
      </w:r>
    </w:p>
    <w:p w14:paraId="324237BB" w14:textId="77777777" w:rsidR="00E73DA9" w:rsidRDefault="0098289F">
      <w:pPr>
        <w:spacing w:line="276" w:lineRule="auto"/>
        <w:ind w:left="0" w:hanging="2"/>
        <w:jc w:val="both"/>
        <w:rPr>
          <w:sz w:val="22"/>
          <w:szCs w:val="22"/>
        </w:rPr>
      </w:pPr>
      <w:r>
        <w:rPr>
          <w:sz w:val="22"/>
          <w:szCs w:val="22"/>
        </w:rPr>
        <w:t xml:space="preserve">Se realizarán evaluaciones del proceso de inducción, capacitación y entrenamiento al nuevo personal y de la reinducción al antiguo personal. Con el fin de identificar la efectividad del programa en términos de conocimientos adquiridos y comprendidos en cuanto SST:  </w:t>
      </w:r>
    </w:p>
    <w:p w14:paraId="3160DCCC" w14:textId="77777777" w:rsidR="00E73DA9" w:rsidRDefault="00E73DA9">
      <w:pPr>
        <w:spacing w:line="276" w:lineRule="auto"/>
        <w:ind w:left="0" w:hanging="2"/>
        <w:jc w:val="both"/>
        <w:rPr>
          <w:sz w:val="22"/>
          <w:szCs w:val="22"/>
        </w:rPr>
      </w:pPr>
    </w:p>
    <w:p w14:paraId="6C034C1B" w14:textId="77777777" w:rsidR="00E73DA9" w:rsidRDefault="0098289F">
      <w:pPr>
        <w:spacing w:line="276" w:lineRule="auto"/>
        <w:ind w:left="0" w:hanging="2"/>
        <w:jc w:val="both"/>
        <w:rPr>
          <w:sz w:val="22"/>
          <w:szCs w:val="22"/>
        </w:rPr>
      </w:pPr>
      <w:r>
        <w:rPr>
          <w:sz w:val="22"/>
          <w:szCs w:val="22"/>
        </w:rPr>
        <w:lastRenderedPageBreak/>
        <w:t xml:space="preserve">Al finalizar todo el proceso, el trabajador deberá firmar el registro de asistencia; además, será evaluado una vez termine el proceso de inducción, capacitación y/o entrenamiento o en un plazo no mayor a cinco (5) días, para definir la efectividad del proceso. </w:t>
      </w:r>
    </w:p>
    <w:p w14:paraId="558BAB62" w14:textId="77777777" w:rsidR="00E73DA9" w:rsidRDefault="00E73DA9">
      <w:pPr>
        <w:spacing w:line="276" w:lineRule="auto"/>
        <w:ind w:left="0" w:hanging="2"/>
        <w:jc w:val="both"/>
        <w:rPr>
          <w:sz w:val="22"/>
          <w:szCs w:val="22"/>
        </w:rPr>
      </w:pPr>
    </w:p>
    <w:p w14:paraId="6A3AA6F1" w14:textId="77777777" w:rsidR="00E73DA9" w:rsidRDefault="0098289F">
      <w:pPr>
        <w:spacing w:line="276" w:lineRule="auto"/>
        <w:ind w:left="0" w:hanging="2"/>
        <w:jc w:val="both"/>
        <w:rPr>
          <w:sz w:val="22"/>
          <w:szCs w:val="22"/>
        </w:rPr>
      </w:pPr>
      <w:r>
        <w:rPr>
          <w:b/>
          <w:sz w:val="22"/>
          <w:szCs w:val="22"/>
        </w:rPr>
        <w:t>La capacitación puede ser evaluada de la siguiente forma:</w:t>
      </w:r>
    </w:p>
    <w:p w14:paraId="67234B4F" w14:textId="77777777" w:rsidR="00E73DA9" w:rsidRDefault="00E73DA9">
      <w:pPr>
        <w:spacing w:line="276" w:lineRule="auto"/>
        <w:ind w:left="0" w:hanging="2"/>
        <w:jc w:val="both"/>
        <w:rPr>
          <w:sz w:val="22"/>
          <w:szCs w:val="22"/>
        </w:rPr>
      </w:pPr>
    </w:p>
    <w:p w14:paraId="500CF4C8" w14:textId="77777777" w:rsidR="00E73DA9" w:rsidRDefault="0098289F">
      <w:pPr>
        <w:spacing w:line="276" w:lineRule="auto"/>
        <w:ind w:left="0" w:hanging="2"/>
        <w:jc w:val="both"/>
        <w:rPr>
          <w:sz w:val="22"/>
          <w:szCs w:val="22"/>
        </w:rPr>
      </w:pPr>
      <w:r>
        <w:rPr>
          <w:sz w:val="22"/>
          <w:szCs w:val="22"/>
        </w:rPr>
        <w:t>Toda capacitación debe ser respaldada por una presentación que incluya los contenidos de la misma y tenga su respectiva evaluación.</w:t>
      </w:r>
    </w:p>
    <w:p w14:paraId="1C1789C1" w14:textId="77777777" w:rsidR="00E73DA9" w:rsidRDefault="00E73DA9">
      <w:pPr>
        <w:spacing w:line="276" w:lineRule="auto"/>
        <w:ind w:left="0" w:hanging="2"/>
        <w:jc w:val="both"/>
        <w:rPr>
          <w:sz w:val="22"/>
          <w:szCs w:val="22"/>
        </w:rPr>
      </w:pPr>
    </w:p>
    <w:p w14:paraId="4E0C7692" w14:textId="77777777" w:rsidR="00E73DA9" w:rsidRDefault="0098289F">
      <w:pPr>
        <w:spacing w:line="276" w:lineRule="auto"/>
        <w:ind w:left="0" w:hanging="2"/>
        <w:jc w:val="both"/>
        <w:rPr>
          <w:sz w:val="22"/>
          <w:szCs w:val="22"/>
        </w:rPr>
      </w:pPr>
      <w:r>
        <w:rPr>
          <w:sz w:val="22"/>
          <w:szCs w:val="22"/>
        </w:rPr>
        <w:t xml:space="preserve">Para las capacitaciones suministradas por la ARL o entes externos se solicitará al formador la presentación de la capacitación y de igual forma se solicitará que diseñe una evaluación del tema a dictar la cual debe enviar antes de suministrar la capacitación para revisión y aprobación del coordinador de SGI.   </w:t>
      </w:r>
    </w:p>
    <w:p w14:paraId="4F2DA77D" w14:textId="77777777" w:rsidR="00E73DA9" w:rsidRDefault="0098289F">
      <w:pPr>
        <w:spacing w:line="276" w:lineRule="auto"/>
        <w:ind w:left="0" w:hanging="2"/>
        <w:jc w:val="both"/>
        <w:rPr>
          <w:sz w:val="22"/>
          <w:szCs w:val="22"/>
        </w:rPr>
      </w:pPr>
      <w:r>
        <w:rPr>
          <w:sz w:val="22"/>
          <w:szCs w:val="22"/>
        </w:rPr>
        <w:t>Una vez terminada la capacitación el formador aplicará la evaluación escrita a los asistentes, esta será evaluada generando un resultado de la nota; por la cual se evaluará de 1 a 5, siendo 1 el menor puntaje y 5 el máximo puntaje.</w:t>
      </w:r>
    </w:p>
    <w:p w14:paraId="257F4832" w14:textId="77777777" w:rsidR="00E73DA9" w:rsidRDefault="00E73DA9">
      <w:pPr>
        <w:spacing w:line="276" w:lineRule="auto"/>
        <w:ind w:left="0" w:hanging="2"/>
        <w:jc w:val="both"/>
        <w:rPr>
          <w:sz w:val="22"/>
          <w:szCs w:val="22"/>
        </w:rPr>
      </w:pPr>
    </w:p>
    <w:p w14:paraId="1F015B37" w14:textId="77777777" w:rsidR="00E73DA9" w:rsidRDefault="0098289F">
      <w:pPr>
        <w:spacing w:line="276" w:lineRule="auto"/>
        <w:ind w:left="0" w:hanging="2"/>
        <w:jc w:val="both"/>
        <w:rPr>
          <w:sz w:val="22"/>
          <w:szCs w:val="22"/>
        </w:rPr>
      </w:pPr>
      <w:r>
        <w:rPr>
          <w:sz w:val="22"/>
          <w:szCs w:val="22"/>
        </w:rPr>
        <w:t>Para dar el concepto de APROBAR o NO APROBÓ se tendrá en cuenta los siguientes resultados:</w:t>
      </w:r>
    </w:p>
    <w:p w14:paraId="1215178A" w14:textId="77777777" w:rsidR="00E73DA9" w:rsidRDefault="00E73DA9">
      <w:pPr>
        <w:spacing w:line="276" w:lineRule="auto"/>
        <w:ind w:left="0" w:hanging="2"/>
        <w:jc w:val="both"/>
        <w:rPr>
          <w:sz w:val="22"/>
          <w:szCs w:val="22"/>
        </w:rPr>
      </w:pPr>
    </w:p>
    <w:p w14:paraId="4E34B258" w14:textId="77777777" w:rsidR="00E73DA9" w:rsidRDefault="0098289F">
      <w:pPr>
        <w:spacing w:line="276" w:lineRule="auto"/>
        <w:ind w:left="0" w:hanging="2"/>
        <w:jc w:val="both"/>
        <w:rPr>
          <w:sz w:val="22"/>
          <w:szCs w:val="22"/>
        </w:rPr>
      </w:pPr>
      <w:r>
        <w:rPr>
          <w:sz w:val="22"/>
          <w:szCs w:val="22"/>
        </w:rPr>
        <w:t>CALIFICACIÓN OBTENIDA</w:t>
      </w:r>
    </w:p>
    <w:p w14:paraId="56AAB00F" w14:textId="77777777" w:rsidR="00E73DA9" w:rsidRDefault="0098289F">
      <w:pPr>
        <w:spacing w:line="276" w:lineRule="auto"/>
        <w:ind w:left="0" w:hanging="2"/>
        <w:jc w:val="both"/>
        <w:rPr>
          <w:sz w:val="22"/>
          <w:szCs w:val="22"/>
        </w:rPr>
      </w:pPr>
      <w:r>
        <w:rPr>
          <w:sz w:val="22"/>
          <w:szCs w:val="22"/>
        </w:rPr>
        <w:t>De 1 a 2,9= NO APROBÓ</w:t>
      </w:r>
    </w:p>
    <w:p w14:paraId="6D312456" w14:textId="77777777" w:rsidR="00E73DA9" w:rsidRDefault="0098289F">
      <w:pPr>
        <w:spacing w:line="276" w:lineRule="auto"/>
        <w:ind w:left="0" w:hanging="2"/>
        <w:jc w:val="both"/>
        <w:rPr>
          <w:sz w:val="22"/>
          <w:szCs w:val="22"/>
        </w:rPr>
      </w:pPr>
      <w:r>
        <w:rPr>
          <w:sz w:val="22"/>
          <w:szCs w:val="22"/>
        </w:rPr>
        <w:t xml:space="preserve">De 3,0 a 5:0= APROBÓ    </w:t>
      </w:r>
    </w:p>
    <w:p w14:paraId="114BDEDF" w14:textId="77777777" w:rsidR="00E73DA9" w:rsidRDefault="00E73DA9">
      <w:pPr>
        <w:spacing w:line="276" w:lineRule="auto"/>
        <w:ind w:left="0" w:hanging="2"/>
        <w:jc w:val="both"/>
        <w:rPr>
          <w:sz w:val="22"/>
          <w:szCs w:val="22"/>
        </w:rPr>
      </w:pPr>
    </w:p>
    <w:p w14:paraId="26B1CC95" w14:textId="77777777" w:rsidR="00E73DA9" w:rsidRDefault="0098289F">
      <w:pPr>
        <w:spacing w:line="276" w:lineRule="auto"/>
        <w:ind w:left="0" w:hanging="2"/>
        <w:jc w:val="both"/>
        <w:rPr>
          <w:sz w:val="22"/>
          <w:szCs w:val="22"/>
        </w:rPr>
      </w:pPr>
      <w:r>
        <w:rPr>
          <w:sz w:val="22"/>
          <w:szCs w:val="22"/>
        </w:rPr>
        <w:t>El % de calificación de cada ítem se define así: % de cumplimiento = número de respuestas correctas marcadas/número total de respuestas del ítem. *100.</w:t>
      </w:r>
    </w:p>
    <w:p w14:paraId="0E02331E" w14:textId="77777777" w:rsidR="00E73DA9" w:rsidRDefault="00E73DA9">
      <w:pPr>
        <w:spacing w:line="276" w:lineRule="auto"/>
        <w:ind w:left="0" w:hanging="2"/>
        <w:jc w:val="both"/>
        <w:rPr>
          <w:sz w:val="22"/>
          <w:szCs w:val="22"/>
        </w:rPr>
      </w:pPr>
    </w:p>
    <w:p w14:paraId="056FC837" w14:textId="77777777" w:rsidR="00E73DA9" w:rsidRDefault="0098289F">
      <w:pPr>
        <w:spacing w:line="276" w:lineRule="auto"/>
        <w:ind w:left="0" w:hanging="2"/>
        <w:jc w:val="both"/>
        <w:rPr>
          <w:sz w:val="22"/>
          <w:szCs w:val="22"/>
        </w:rPr>
      </w:pPr>
      <w:r>
        <w:rPr>
          <w:sz w:val="22"/>
          <w:szCs w:val="22"/>
        </w:rPr>
        <w:t>Los espacios en blanco se tomarán como respuestas negativas y se deben tener en cuenta para generar los planes de acción.</w:t>
      </w:r>
    </w:p>
    <w:p w14:paraId="2C608FF1" w14:textId="77777777" w:rsidR="00E73DA9" w:rsidRDefault="0098289F">
      <w:pPr>
        <w:spacing w:line="276" w:lineRule="auto"/>
        <w:ind w:left="0" w:hanging="2"/>
        <w:jc w:val="both"/>
        <w:rPr>
          <w:sz w:val="22"/>
          <w:szCs w:val="22"/>
        </w:rPr>
      </w:pPr>
      <w:r>
        <w:rPr>
          <w:sz w:val="22"/>
          <w:szCs w:val="22"/>
        </w:rPr>
        <w:t xml:space="preserve">                                                                                                                                                                                                </w:t>
      </w:r>
    </w:p>
    <w:p w14:paraId="0F7EDF9A" w14:textId="77777777" w:rsidR="00E73DA9" w:rsidRDefault="0098289F">
      <w:pPr>
        <w:spacing w:line="276" w:lineRule="auto"/>
        <w:ind w:left="0" w:hanging="2"/>
        <w:jc w:val="both"/>
        <w:rPr>
          <w:sz w:val="22"/>
          <w:szCs w:val="22"/>
        </w:rPr>
      </w:pPr>
      <w:bookmarkStart w:id="26" w:name="_heading=h.qsh70q" w:colFirst="0" w:colLast="0"/>
      <w:bookmarkEnd w:id="26"/>
      <w:r>
        <w:rPr>
          <w:sz w:val="22"/>
          <w:szCs w:val="22"/>
        </w:rPr>
        <w:t>En el caso que alguno de los asistentes no apruebe la evaluación de la capacitación, el Coord. De SGI realizará un refuerzo   y en una vez termine el asistente a la capacitación debe presentar un nuevo examen del tema, cabe destacar que esta evaluación solo se realizará de manera escrita.</w:t>
      </w:r>
    </w:p>
    <w:p w14:paraId="1154E2A0" w14:textId="77777777" w:rsidR="00E73DA9" w:rsidRDefault="0098289F">
      <w:pPr>
        <w:pBdr>
          <w:top w:val="nil"/>
          <w:left w:val="nil"/>
          <w:bottom w:val="nil"/>
          <w:right w:val="nil"/>
          <w:between w:val="nil"/>
        </w:pBdr>
        <w:spacing w:before="240" w:after="60" w:line="276" w:lineRule="auto"/>
        <w:ind w:left="0" w:hanging="2"/>
        <w:jc w:val="both"/>
        <w:rPr>
          <w:b/>
          <w:color w:val="000000"/>
          <w:sz w:val="22"/>
          <w:szCs w:val="22"/>
        </w:rPr>
      </w:pPr>
      <w:bookmarkStart w:id="27" w:name="_heading=h.3as4poj" w:colFirst="0" w:colLast="0"/>
      <w:bookmarkEnd w:id="27"/>
      <w:r>
        <w:rPr>
          <w:b/>
          <w:color w:val="000000"/>
          <w:sz w:val="22"/>
          <w:szCs w:val="22"/>
        </w:rPr>
        <w:lastRenderedPageBreak/>
        <w:t>5. RECURSOS</w:t>
      </w:r>
    </w:p>
    <w:p w14:paraId="0086D923" w14:textId="77777777" w:rsidR="00E73DA9" w:rsidRDefault="0098289F">
      <w:pPr>
        <w:pBdr>
          <w:top w:val="nil"/>
          <w:left w:val="nil"/>
          <w:bottom w:val="nil"/>
          <w:right w:val="nil"/>
          <w:between w:val="nil"/>
        </w:pBdr>
        <w:spacing w:line="276" w:lineRule="auto"/>
        <w:ind w:left="0" w:hanging="2"/>
        <w:jc w:val="both"/>
        <w:rPr>
          <w:b/>
          <w:color w:val="000000"/>
          <w:sz w:val="22"/>
          <w:szCs w:val="22"/>
        </w:rPr>
      </w:pPr>
      <w:r>
        <w:rPr>
          <w:b/>
          <w:color w:val="000000"/>
          <w:sz w:val="22"/>
          <w:szCs w:val="22"/>
        </w:rPr>
        <w:t>5.1 Humanos:</w:t>
      </w:r>
    </w:p>
    <w:p w14:paraId="5044D25B" w14:textId="77777777" w:rsidR="00E73DA9" w:rsidRDefault="00E73DA9">
      <w:pPr>
        <w:spacing w:line="276" w:lineRule="auto"/>
        <w:ind w:left="0" w:hanging="2"/>
        <w:jc w:val="both"/>
        <w:rPr>
          <w:sz w:val="22"/>
          <w:szCs w:val="22"/>
        </w:rPr>
      </w:pPr>
    </w:p>
    <w:tbl>
      <w:tblPr>
        <w:tblStyle w:val="a2"/>
        <w:tblW w:w="52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9"/>
      </w:tblGrid>
      <w:tr w:rsidR="00E73DA9" w14:paraId="646ECC84" w14:textId="77777777">
        <w:trPr>
          <w:trHeight w:val="214"/>
          <w:jc w:val="center"/>
        </w:trPr>
        <w:tc>
          <w:tcPr>
            <w:tcW w:w="5219" w:type="dxa"/>
            <w:shd w:val="clear" w:color="auto" w:fill="D9D9D9"/>
          </w:tcPr>
          <w:p w14:paraId="7B46C133" w14:textId="77777777" w:rsidR="00E73DA9" w:rsidRDefault="0098289F">
            <w:pPr>
              <w:spacing w:line="276" w:lineRule="auto"/>
              <w:ind w:left="0" w:hanging="2"/>
              <w:jc w:val="both"/>
              <w:rPr>
                <w:sz w:val="22"/>
                <w:szCs w:val="22"/>
              </w:rPr>
            </w:pPr>
            <w:r>
              <w:rPr>
                <w:b/>
                <w:sz w:val="22"/>
                <w:szCs w:val="22"/>
              </w:rPr>
              <w:t>ARL</w:t>
            </w:r>
          </w:p>
        </w:tc>
      </w:tr>
      <w:tr w:rsidR="00E73DA9" w14:paraId="2EF527D3" w14:textId="77777777">
        <w:trPr>
          <w:trHeight w:val="266"/>
          <w:jc w:val="center"/>
        </w:trPr>
        <w:tc>
          <w:tcPr>
            <w:tcW w:w="5219" w:type="dxa"/>
          </w:tcPr>
          <w:p w14:paraId="09A8E210" w14:textId="20ED7E5A" w:rsidR="00E73DA9" w:rsidRDefault="00061C3F">
            <w:pPr>
              <w:spacing w:line="276" w:lineRule="auto"/>
              <w:ind w:left="0" w:hanging="2"/>
              <w:jc w:val="both"/>
              <w:rPr>
                <w:sz w:val="22"/>
                <w:szCs w:val="22"/>
              </w:rPr>
            </w:pPr>
            <w:r>
              <w:rPr>
                <w:sz w:val="22"/>
                <w:szCs w:val="22"/>
              </w:rPr>
              <w:t>Profesionales Especializ</w:t>
            </w:r>
            <w:r w:rsidR="00E772F0">
              <w:rPr>
                <w:sz w:val="22"/>
                <w:szCs w:val="22"/>
              </w:rPr>
              <w:t>a</w:t>
            </w:r>
            <w:r>
              <w:rPr>
                <w:sz w:val="22"/>
                <w:szCs w:val="22"/>
              </w:rPr>
              <w:t>dos</w:t>
            </w:r>
          </w:p>
        </w:tc>
      </w:tr>
      <w:tr w:rsidR="00E73DA9" w14:paraId="09582AB5" w14:textId="77777777">
        <w:trPr>
          <w:trHeight w:val="266"/>
          <w:jc w:val="center"/>
        </w:trPr>
        <w:tc>
          <w:tcPr>
            <w:tcW w:w="5219" w:type="dxa"/>
          </w:tcPr>
          <w:p w14:paraId="0E05A358" w14:textId="77777777" w:rsidR="00E73DA9" w:rsidRDefault="0098289F">
            <w:pPr>
              <w:spacing w:line="276" w:lineRule="auto"/>
              <w:ind w:left="0" w:hanging="2"/>
              <w:jc w:val="both"/>
              <w:rPr>
                <w:sz w:val="22"/>
                <w:szCs w:val="22"/>
              </w:rPr>
            </w:pPr>
            <w:r>
              <w:rPr>
                <w:sz w:val="22"/>
                <w:szCs w:val="22"/>
              </w:rPr>
              <w:t>Psicólogo (a) Especialista SST</w:t>
            </w:r>
          </w:p>
        </w:tc>
      </w:tr>
      <w:tr w:rsidR="00E73DA9" w14:paraId="26453CA8" w14:textId="77777777">
        <w:trPr>
          <w:trHeight w:val="266"/>
          <w:jc w:val="center"/>
        </w:trPr>
        <w:tc>
          <w:tcPr>
            <w:tcW w:w="5219" w:type="dxa"/>
          </w:tcPr>
          <w:p w14:paraId="166B1D06" w14:textId="77777777" w:rsidR="00E73DA9" w:rsidRDefault="0098289F">
            <w:pPr>
              <w:spacing w:line="276" w:lineRule="auto"/>
              <w:ind w:left="0" w:hanging="2"/>
              <w:jc w:val="both"/>
              <w:rPr>
                <w:sz w:val="22"/>
                <w:szCs w:val="22"/>
              </w:rPr>
            </w:pPr>
            <w:r>
              <w:rPr>
                <w:sz w:val="22"/>
                <w:szCs w:val="22"/>
              </w:rPr>
              <w:t>Asesores de SGSST</w:t>
            </w:r>
          </w:p>
        </w:tc>
      </w:tr>
      <w:tr w:rsidR="00E73DA9" w14:paraId="097C52D8" w14:textId="77777777">
        <w:trPr>
          <w:trHeight w:val="266"/>
          <w:jc w:val="center"/>
        </w:trPr>
        <w:tc>
          <w:tcPr>
            <w:tcW w:w="5219" w:type="dxa"/>
          </w:tcPr>
          <w:p w14:paraId="4934CBD4" w14:textId="77777777" w:rsidR="00E73DA9" w:rsidRDefault="0098289F">
            <w:pPr>
              <w:spacing w:line="276" w:lineRule="auto"/>
              <w:ind w:left="0" w:hanging="2"/>
              <w:jc w:val="both"/>
              <w:rPr>
                <w:sz w:val="22"/>
                <w:szCs w:val="22"/>
              </w:rPr>
            </w:pPr>
            <w:r>
              <w:rPr>
                <w:sz w:val="22"/>
                <w:szCs w:val="22"/>
              </w:rPr>
              <w:t>Tecnólogos SST</w:t>
            </w:r>
          </w:p>
        </w:tc>
      </w:tr>
    </w:tbl>
    <w:p w14:paraId="0182DF3F" w14:textId="77777777" w:rsidR="00E73DA9" w:rsidRDefault="00E73DA9">
      <w:pPr>
        <w:spacing w:line="276" w:lineRule="auto"/>
        <w:ind w:left="0" w:hanging="2"/>
        <w:jc w:val="both"/>
        <w:rPr>
          <w:sz w:val="22"/>
          <w:szCs w:val="22"/>
        </w:rPr>
      </w:pPr>
    </w:p>
    <w:p w14:paraId="14BB1EE6" w14:textId="77777777" w:rsidR="00E73DA9" w:rsidRDefault="00E73DA9">
      <w:pPr>
        <w:spacing w:line="276" w:lineRule="auto"/>
        <w:ind w:left="0" w:hanging="2"/>
        <w:jc w:val="both"/>
        <w:rPr>
          <w:sz w:val="22"/>
          <w:szCs w:val="22"/>
        </w:rPr>
      </w:pPr>
      <w:bookmarkStart w:id="28" w:name="_heading=h.1pxezwc" w:colFirst="0" w:colLast="0"/>
      <w:bookmarkEnd w:id="28"/>
    </w:p>
    <w:p w14:paraId="699D1B12" w14:textId="77777777" w:rsidR="00E73DA9" w:rsidRDefault="0098289F">
      <w:pPr>
        <w:pBdr>
          <w:top w:val="nil"/>
          <w:left w:val="nil"/>
          <w:bottom w:val="nil"/>
          <w:right w:val="nil"/>
          <w:between w:val="nil"/>
        </w:pBdr>
        <w:spacing w:line="276" w:lineRule="auto"/>
        <w:ind w:left="0" w:hanging="2"/>
        <w:jc w:val="both"/>
        <w:rPr>
          <w:b/>
          <w:color w:val="000000"/>
          <w:sz w:val="22"/>
          <w:szCs w:val="22"/>
        </w:rPr>
      </w:pPr>
      <w:r>
        <w:rPr>
          <w:b/>
          <w:color w:val="000000"/>
          <w:sz w:val="22"/>
          <w:szCs w:val="22"/>
        </w:rPr>
        <w:t>5.2 Técnicos y logísticos</w:t>
      </w:r>
    </w:p>
    <w:p w14:paraId="4B246BC0" w14:textId="77777777" w:rsidR="00E73DA9" w:rsidRDefault="0098289F">
      <w:pPr>
        <w:spacing w:line="276" w:lineRule="auto"/>
        <w:ind w:left="0" w:hanging="2"/>
        <w:jc w:val="both"/>
        <w:rPr>
          <w:sz w:val="22"/>
          <w:szCs w:val="22"/>
        </w:rPr>
      </w:pPr>
      <w:r>
        <w:rPr>
          <w:sz w:val="22"/>
          <w:szCs w:val="22"/>
        </w:rPr>
        <w:t xml:space="preserve">Memorias capacitación publicada </w:t>
      </w:r>
    </w:p>
    <w:p w14:paraId="4F467D9D" w14:textId="77777777" w:rsidR="00E73DA9" w:rsidRDefault="0098289F">
      <w:pPr>
        <w:spacing w:line="276" w:lineRule="auto"/>
        <w:ind w:left="0" w:hanging="2"/>
        <w:jc w:val="both"/>
        <w:rPr>
          <w:sz w:val="22"/>
          <w:szCs w:val="22"/>
        </w:rPr>
      </w:pPr>
      <w:r>
        <w:rPr>
          <w:sz w:val="22"/>
          <w:szCs w:val="22"/>
        </w:rPr>
        <w:t>Cronograma de capacitación en SST</w:t>
      </w:r>
    </w:p>
    <w:p w14:paraId="5E4DDA35" w14:textId="77777777" w:rsidR="00E73DA9" w:rsidRDefault="0098289F">
      <w:pPr>
        <w:spacing w:line="276" w:lineRule="auto"/>
        <w:ind w:left="0" w:hanging="2"/>
        <w:jc w:val="both"/>
        <w:rPr>
          <w:sz w:val="22"/>
          <w:szCs w:val="22"/>
        </w:rPr>
      </w:pPr>
      <w:r>
        <w:rPr>
          <w:sz w:val="22"/>
          <w:szCs w:val="22"/>
        </w:rPr>
        <w:t>Portátil</w:t>
      </w:r>
    </w:p>
    <w:sectPr w:rsidR="00E73DA9">
      <w:headerReference w:type="even" r:id="rId10"/>
      <w:headerReference w:type="default" r:id="rId11"/>
      <w:footerReference w:type="even" r:id="rId12"/>
      <w:footerReference w:type="default" r:id="rId13"/>
      <w:headerReference w:type="first" r:id="rId14"/>
      <w:footerReference w:type="first" r:id="rId15"/>
      <w:pgSz w:w="12240" w:h="15840"/>
      <w:pgMar w:top="1701" w:right="1134" w:bottom="1134" w:left="1701" w:header="426"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42D54" w14:textId="77777777" w:rsidR="00F513E9" w:rsidRDefault="00F513E9">
      <w:pPr>
        <w:spacing w:line="240" w:lineRule="auto"/>
        <w:ind w:left="0" w:hanging="2"/>
      </w:pPr>
      <w:r>
        <w:separator/>
      </w:r>
    </w:p>
  </w:endnote>
  <w:endnote w:type="continuationSeparator" w:id="0">
    <w:p w14:paraId="49A6929E" w14:textId="77777777" w:rsidR="00F513E9" w:rsidRDefault="00F513E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Calibri"/>
    <w:charset w:val="00"/>
    <w:family w:val="auto"/>
    <w:pitch w:val="default"/>
    <w:embedRegular r:id="rId1" w:fontKey="{A82B75C0-8248-4982-A06E-77FA5A45A04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2" w:fontKey="{E4883DB0-CA3B-47BA-B33D-F3EEF2AA2B0A}"/>
    <w:embedBold r:id="rId3" w:fontKey="{F0B04D69-9E33-4F41-9425-5738AC62F3CA}"/>
  </w:font>
  <w:font w:name="Arial Narrow">
    <w:panose1 w:val="020B0606020202030204"/>
    <w:charset w:val="00"/>
    <w:family w:val="swiss"/>
    <w:pitch w:val="variable"/>
    <w:sig w:usb0="00000287" w:usb1="00000800" w:usb2="00000000" w:usb3="00000000" w:csb0="0000009F" w:csb1="00000000"/>
    <w:embedBold r:id="rId4" w:fontKey="{C602BE44-14E7-4044-9BE6-488EB4E2B223}"/>
  </w:font>
  <w:font w:name="Tahoma">
    <w:panose1 w:val="020B0604030504040204"/>
    <w:charset w:val="00"/>
    <w:family w:val="swiss"/>
    <w:pitch w:val="variable"/>
    <w:sig w:usb0="E1002EFF" w:usb1="C000605B" w:usb2="00000029" w:usb3="00000000" w:csb0="000101FF" w:csb1="00000000"/>
    <w:embedRegular r:id="rId5" w:fontKey="{BF13564B-716E-43CB-A02F-678252DD8B8D}"/>
  </w:font>
  <w:font w:name="Calibri">
    <w:panose1 w:val="020F0502020204030204"/>
    <w:charset w:val="00"/>
    <w:family w:val="swiss"/>
    <w:pitch w:val="variable"/>
    <w:sig w:usb0="E0002AFF" w:usb1="4000ACFF" w:usb2="00000001" w:usb3="00000000" w:csb0="000001FF" w:csb1="00000000"/>
    <w:embedRegular r:id="rId6" w:fontKey="{9A95A9AD-D9A4-4AFA-84DF-898AB43CDC15}"/>
    <w:embedBold r:id="rId7" w:fontKey="{65C85C89-AE53-434E-A88C-B4FEB6A84D8A}"/>
  </w:font>
  <w:font w:name="Segoe UI">
    <w:panose1 w:val="020B0502040204020203"/>
    <w:charset w:val="00"/>
    <w:family w:val="swiss"/>
    <w:pitch w:val="variable"/>
    <w:sig w:usb0="E4002EFF" w:usb1="C000E47F" w:usb2="00000009" w:usb3="00000000" w:csb0="000001FF" w:csb1="00000000"/>
    <w:embedRegular r:id="rId8" w:fontKey="{491631B8-323B-4A53-9360-F0873019E526}"/>
  </w:font>
  <w:font w:name="Calibri Light">
    <w:panose1 w:val="020F0302020204030204"/>
    <w:charset w:val="00"/>
    <w:family w:val="swiss"/>
    <w:pitch w:val="variable"/>
    <w:sig w:usb0="A0002AEF" w:usb1="4000207B" w:usb2="00000000" w:usb3="00000000" w:csb0="000001FF" w:csb1="00000000"/>
    <w:embedRegular r:id="rId9" w:fontKey="{63DDEE03-4331-49FC-AABD-62D42E89492D}"/>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10" w:fontKey="{87758358-9EDB-452F-AA60-A364AC059813}"/>
    <w:embedItalic r:id="rId11" w:fontKey="{DBBF8AB5-73BB-4260-A925-7A7DD59C9FD1}"/>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24572" w14:textId="77777777" w:rsidR="00E73DA9" w:rsidRDefault="00E73DA9">
    <w:pPr>
      <w:pBdr>
        <w:top w:val="nil"/>
        <w:left w:val="nil"/>
        <w:bottom w:val="nil"/>
        <w:right w:val="nil"/>
        <w:between w:val="nil"/>
      </w:pBdr>
      <w:tabs>
        <w:tab w:val="center" w:pos="4419"/>
        <w:tab w:val="right" w:pos="88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1611" w14:textId="3DD5FB4E" w:rsidR="00E73DA9" w:rsidRDefault="00E73DA9">
    <w:pPr>
      <w:pBdr>
        <w:top w:val="nil"/>
        <w:left w:val="nil"/>
        <w:bottom w:val="nil"/>
        <w:right w:val="nil"/>
        <w:between w:val="nil"/>
      </w:pBdr>
      <w:tabs>
        <w:tab w:val="center" w:pos="4419"/>
        <w:tab w:val="right" w:pos="8838"/>
      </w:tabs>
      <w:spacing w:line="240" w:lineRule="auto"/>
      <w:ind w:left="0" w:hanging="2"/>
      <w:jc w:val="right"/>
      <w:rPr>
        <w:color w:val="000000"/>
      </w:rPr>
    </w:pPr>
  </w:p>
  <w:tbl>
    <w:tblPr>
      <w:tblStyle w:val="Tablaconcuadrcula1"/>
      <w:tblW w:w="9039" w:type="dxa"/>
      <w:tblLayout w:type="fixed"/>
      <w:tblLook w:val="0000" w:firstRow="0" w:lastRow="0" w:firstColumn="0" w:lastColumn="0" w:noHBand="0" w:noVBand="0"/>
    </w:tblPr>
    <w:tblGrid>
      <w:gridCol w:w="3510"/>
      <w:gridCol w:w="2722"/>
      <w:gridCol w:w="2807"/>
    </w:tblGrid>
    <w:tr w:rsidR="0098289F" w:rsidRPr="0098289F" w14:paraId="0A812B65" w14:textId="77777777" w:rsidTr="003F0E8E">
      <w:trPr>
        <w:trHeight w:val="84"/>
      </w:trPr>
      <w:tc>
        <w:tcPr>
          <w:tcW w:w="3510" w:type="dxa"/>
        </w:tcPr>
        <w:p w14:paraId="59EC3A42" w14:textId="26D3420B" w:rsidR="0098289F" w:rsidRPr="0098289F" w:rsidRDefault="0098289F" w:rsidP="0098289F">
          <w:pPr>
            <w:pBdr>
              <w:top w:val="nil"/>
              <w:left w:val="nil"/>
              <w:bottom w:val="nil"/>
              <w:right w:val="nil"/>
              <w:between w:val="nil"/>
            </w:pBdr>
            <w:tabs>
              <w:tab w:val="center" w:pos="4419"/>
              <w:tab w:val="right" w:pos="8838"/>
            </w:tabs>
            <w:suppressAutoHyphens w:val="0"/>
            <w:spacing w:line="240" w:lineRule="auto"/>
            <w:ind w:leftChars="0" w:left="0" w:firstLineChars="0" w:firstLine="0"/>
            <w:jc w:val="center"/>
            <w:textDirection w:val="lrTb"/>
            <w:textAlignment w:val="auto"/>
            <w:outlineLvl w:val="9"/>
            <w:rPr>
              <w:color w:val="000000"/>
              <w:position w:val="0"/>
              <w:lang w:val="es-CO" w:eastAsia="es-419"/>
            </w:rPr>
          </w:pPr>
          <w:r w:rsidRPr="0098289F">
            <w:rPr>
              <w:color w:val="000000"/>
              <w:position w:val="0"/>
              <w:lang w:val="es-CO" w:eastAsia="es-419"/>
            </w:rPr>
            <w:t>ELABORÓ</w:t>
          </w:r>
        </w:p>
      </w:tc>
      <w:tc>
        <w:tcPr>
          <w:tcW w:w="2722" w:type="dxa"/>
        </w:tcPr>
        <w:p w14:paraId="5683CA0C" w14:textId="75DE75DC" w:rsidR="0098289F" w:rsidRPr="0098289F" w:rsidRDefault="0098289F" w:rsidP="0098289F">
          <w:pPr>
            <w:pBdr>
              <w:top w:val="nil"/>
              <w:left w:val="nil"/>
              <w:bottom w:val="nil"/>
              <w:right w:val="nil"/>
              <w:between w:val="nil"/>
            </w:pBdr>
            <w:tabs>
              <w:tab w:val="center" w:pos="4419"/>
              <w:tab w:val="right" w:pos="8838"/>
            </w:tabs>
            <w:suppressAutoHyphens w:val="0"/>
            <w:spacing w:line="240" w:lineRule="auto"/>
            <w:ind w:leftChars="0" w:left="0" w:firstLineChars="0" w:firstLine="0"/>
            <w:jc w:val="center"/>
            <w:textDirection w:val="lrTb"/>
            <w:textAlignment w:val="auto"/>
            <w:outlineLvl w:val="9"/>
            <w:rPr>
              <w:color w:val="000000"/>
              <w:position w:val="0"/>
              <w:lang w:val="es-CO" w:eastAsia="es-419"/>
            </w:rPr>
          </w:pPr>
          <w:r w:rsidRPr="0098289F">
            <w:rPr>
              <w:color w:val="000000"/>
              <w:position w:val="0"/>
              <w:lang w:val="es-CO" w:eastAsia="es-419"/>
            </w:rPr>
            <w:t>REVISÓ</w:t>
          </w:r>
        </w:p>
      </w:tc>
      <w:tc>
        <w:tcPr>
          <w:tcW w:w="2807" w:type="dxa"/>
        </w:tcPr>
        <w:p w14:paraId="18EB008F" w14:textId="77777777" w:rsidR="0098289F" w:rsidRPr="0098289F" w:rsidRDefault="0098289F" w:rsidP="0098289F">
          <w:pPr>
            <w:pBdr>
              <w:top w:val="nil"/>
              <w:left w:val="nil"/>
              <w:bottom w:val="nil"/>
              <w:right w:val="nil"/>
              <w:between w:val="nil"/>
            </w:pBdr>
            <w:tabs>
              <w:tab w:val="center" w:pos="4419"/>
              <w:tab w:val="right" w:pos="8838"/>
            </w:tabs>
            <w:suppressAutoHyphens w:val="0"/>
            <w:spacing w:line="240" w:lineRule="auto"/>
            <w:ind w:leftChars="0" w:left="0" w:firstLineChars="0" w:firstLine="0"/>
            <w:jc w:val="center"/>
            <w:textDirection w:val="lrTb"/>
            <w:textAlignment w:val="auto"/>
            <w:outlineLvl w:val="9"/>
            <w:rPr>
              <w:color w:val="000000"/>
              <w:position w:val="0"/>
              <w:lang w:val="es-CO" w:eastAsia="es-419"/>
            </w:rPr>
          </w:pPr>
          <w:r w:rsidRPr="0098289F">
            <w:rPr>
              <w:color w:val="000000"/>
              <w:position w:val="0"/>
              <w:lang w:val="es-CO" w:eastAsia="es-419"/>
            </w:rPr>
            <w:t>APROBÓ</w:t>
          </w:r>
        </w:p>
      </w:tc>
    </w:tr>
    <w:tr w:rsidR="0098289F" w:rsidRPr="0098289F" w14:paraId="35E357C3" w14:textId="77777777" w:rsidTr="003F0E8E">
      <w:trPr>
        <w:trHeight w:val="84"/>
      </w:trPr>
      <w:tc>
        <w:tcPr>
          <w:tcW w:w="3510" w:type="dxa"/>
        </w:tcPr>
        <w:p w14:paraId="186A7312" w14:textId="01F4FC9D" w:rsidR="0098289F" w:rsidRPr="0098289F" w:rsidRDefault="0098289F" w:rsidP="0098289F">
          <w:pPr>
            <w:pBdr>
              <w:top w:val="nil"/>
              <w:left w:val="nil"/>
              <w:bottom w:val="nil"/>
              <w:right w:val="nil"/>
              <w:between w:val="nil"/>
            </w:pBdr>
            <w:tabs>
              <w:tab w:val="center" w:pos="4419"/>
              <w:tab w:val="right" w:pos="8838"/>
            </w:tabs>
            <w:suppressAutoHyphens w:val="0"/>
            <w:spacing w:line="240" w:lineRule="auto"/>
            <w:ind w:leftChars="0" w:left="0" w:firstLineChars="0" w:firstLine="0"/>
            <w:jc w:val="center"/>
            <w:textDirection w:val="lrTb"/>
            <w:textAlignment w:val="auto"/>
            <w:outlineLvl w:val="9"/>
            <w:rPr>
              <w:color w:val="000000"/>
              <w:position w:val="0"/>
              <w:lang w:val="es-CO" w:eastAsia="es-419"/>
            </w:rPr>
          </w:pPr>
          <w:r w:rsidRPr="0098289F">
            <w:rPr>
              <w:color w:val="000000"/>
              <w:position w:val="0"/>
              <w:lang w:val="es-CO" w:eastAsia="es-419"/>
            </w:rPr>
            <w:t>ROSSE</w:t>
          </w:r>
          <w:r w:rsidR="003F0E8E">
            <w:rPr>
              <w:color w:val="000000"/>
              <w:position w:val="0"/>
              <w:lang w:val="es-CO" w:eastAsia="es-419"/>
            </w:rPr>
            <w:t xml:space="preserve"> MARY</w:t>
          </w:r>
          <w:r w:rsidRPr="0098289F">
            <w:rPr>
              <w:color w:val="000000"/>
              <w:position w:val="0"/>
              <w:lang w:val="es-CO" w:eastAsia="es-419"/>
            </w:rPr>
            <w:t xml:space="preserve"> ECHEVERRY</w:t>
          </w:r>
        </w:p>
      </w:tc>
      <w:tc>
        <w:tcPr>
          <w:tcW w:w="2722" w:type="dxa"/>
        </w:tcPr>
        <w:p w14:paraId="46CD47EA" w14:textId="47AD1057" w:rsidR="0098289F" w:rsidRPr="0098289F" w:rsidRDefault="0012337F" w:rsidP="0098289F">
          <w:pPr>
            <w:pBdr>
              <w:top w:val="nil"/>
              <w:left w:val="nil"/>
              <w:bottom w:val="nil"/>
              <w:right w:val="nil"/>
              <w:between w:val="nil"/>
            </w:pBdr>
            <w:tabs>
              <w:tab w:val="center" w:pos="4419"/>
              <w:tab w:val="right" w:pos="8838"/>
            </w:tabs>
            <w:suppressAutoHyphens w:val="0"/>
            <w:spacing w:line="240" w:lineRule="auto"/>
            <w:ind w:leftChars="0" w:left="0" w:firstLineChars="0" w:firstLine="0"/>
            <w:jc w:val="center"/>
            <w:textDirection w:val="lrTb"/>
            <w:textAlignment w:val="auto"/>
            <w:outlineLvl w:val="9"/>
            <w:rPr>
              <w:color w:val="000000"/>
              <w:position w:val="0"/>
              <w:lang w:val="es-CO" w:eastAsia="es-419"/>
            </w:rPr>
          </w:pPr>
          <w:r>
            <w:rPr>
              <w:noProof/>
              <w:color w:val="000000"/>
              <w:position w:val="0"/>
              <w:lang w:val="es-CO" w:eastAsia="es-CO"/>
            </w:rPr>
            <w:drawing>
              <wp:anchor distT="0" distB="0" distL="114300" distR="114300" simplePos="0" relativeHeight="251661312" behindDoc="1" locked="0" layoutInCell="1" allowOverlap="1" wp14:anchorId="5FEAD3A0" wp14:editId="03A9966E">
                <wp:simplePos x="0" y="0"/>
                <wp:positionH relativeFrom="column">
                  <wp:posOffset>-56515</wp:posOffset>
                </wp:positionH>
                <wp:positionV relativeFrom="paragraph">
                  <wp:posOffset>-220345</wp:posOffset>
                </wp:positionV>
                <wp:extent cx="1466850" cy="993204"/>
                <wp:effectExtent l="0" t="0" r="0" b="0"/>
                <wp:wrapNone/>
                <wp:docPr id="94607555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993204"/>
                        </a:xfrm>
                        <a:prstGeom prst="rect">
                          <a:avLst/>
                        </a:prstGeom>
                        <a:noFill/>
                      </pic:spPr>
                    </pic:pic>
                  </a:graphicData>
                </a:graphic>
                <wp14:sizeRelH relativeFrom="page">
                  <wp14:pctWidth>0</wp14:pctWidth>
                </wp14:sizeRelH>
                <wp14:sizeRelV relativeFrom="page">
                  <wp14:pctHeight>0</wp14:pctHeight>
                </wp14:sizeRelV>
              </wp:anchor>
            </w:drawing>
          </w:r>
          <w:r w:rsidR="003F0E8E">
            <w:rPr>
              <w:color w:val="000000"/>
              <w:position w:val="0"/>
              <w:lang w:val="es-CO" w:eastAsia="es-419"/>
            </w:rPr>
            <w:t xml:space="preserve">ROSSE MARY ECHEVERRY </w:t>
          </w:r>
        </w:p>
      </w:tc>
      <w:tc>
        <w:tcPr>
          <w:tcW w:w="2807" w:type="dxa"/>
        </w:tcPr>
        <w:p w14:paraId="4C4CB5B2" w14:textId="26BCFF5A" w:rsidR="0098289F" w:rsidRPr="0098289F" w:rsidRDefault="003F0E8E" w:rsidP="0098289F">
          <w:pPr>
            <w:pBdr>
              <w:top w:val="nil"/>
              <w:left w:val="nil"/>
              <w:bottom w:val="nil"/>
              <w:right w:val="nil"/>
              <w:between w:val="nil"/>
            </w:pBdr>
            <w:tabs>
              <w:tab w:val="center" w:pos="4419"/>
              <w:tab w:val="right" w:pos="8838"/>
            </w:tabs>
            <w:suppressAutoHyphens w:val="0"/>
            <w:spacing w:line="240" w:lineRule="auto"/>
            <w:ind w:leftChars="0" w:left="0" w:firstLineChars="0" w:firstLine="0"/>
            <w:jc w:val="center"/>
            <w:textDirection w:val="lrTb"/>
            <w:textAlignment w:val="auto"/>
            <w:outlineLvl w:val="9"/>
            <w:rPr>
              <w:color w:val="000000"/>
              <w:position w:val="0"/>
              <w:lang w:val="es-CO" w:eastAsia="es-419"/>
            </w:rPr>
          </w:pPr>
          <w:r>
            <w:rPr>
              <w:color w:val="000000"/>
              <w:position w:val="0"/>
              <w:lang w:val="es-CO" w:eastAsia="es-419"/>
            </w:rPr>
            <w:t>JULIANA SINNING CIODARO</w:t>
          </w:r>
        </w:p>
      </w:tc>
    </w:tr>
    <w:tr w:rsidR="0098289F" w:rsidRPr="0098289F" w14:paraId="77A2E4D3" w14:textId="77777777" w:rsidTr="003F0E8E">
      <w:trPr>
        <w:trHeight w:val="84"/>
      </w:trPr>
      <w:tc>
        <w:tcPr>
          <w:tcW w:w="3510" w:type="dxa"/>
        </w:tcPr>
        <w:p w14:paraId="6DAAB578" w14:textId="6B578AF9" w:rsidR="0098289F" w:rsidRPr="0098289F" w:rsidRDefault="0098289F" w:rsidP="0098289F">
          <w:pPr>
            <w:pBdr>
              <w:top w:val="nil"/>
              <w:left w:val="nil"/>
              <w:bottom w:val="nil"/>
              <w:right w:val="nil"/>
              <w:between w:val="nil"/>
            </w:pBdr>
            <w:tabs>
              <w:tab w:val="center" w:pos="4419"/>
              <w:tab w:val="right" w:pos="8838"/>
            </w:tabs>
            <w:suppressAutoHyphens w:val="0"/>
            <w:spacing w:line="240" w:lineRule="auto"/>
            <w:ind w:leftChars="0" w:left="0" w:firstLineChars="0" w:firstLine="0"/>
            <w:jc w:val="center"/>
            <w:textDirection w:val="lrTb"/>
            <w:textAlignment w:val="auto"/>
            <w:outlineLvl w:val="9"/>
            <w:rPr>
              <w:color w:val="000000"/>
              <w:position w:val="0"/>
              <w:lang w:val="es-CO" w:eastAsia="es-419"/>
            </w:rPr>
          </w:pPr>
          <w:r w:rsidRPr="0098289F">
            <w:rPr>
              <w:color w:val="000000"/>
              <w:position w:val="0"/>
              <w:lang w:eastAsia="es-419"/>
            </w:rPr>
            <w:t>PROF. UNIVERSITARIO S.S. T</w:t>
          </w:r>
        </w:p>
      </w:tc>
      <w:tc>
        <w:tcPr>
          <w:tcW w:w="2722" w:type="dxa"/>
        </w:tcPr>
        <w:p w14:paraId="4900B06F" w14:textId="4E3ED07F" w:rsidR="0098289F" w:rsidRPr="0098289F" w:rsidRDefault="003F0E8E" w:rsidP="0098289F">
          <w:pPr>
            <w:pBdr>
              <w:top w:val="nil"/>
              <w:left w:val="nil"/>
              <w:bottom w:val="nil"/>
              <w:right w:val="nil"/>
              <w:between w:val="nil"/>
            </w:pBdr>
            <w:tabs>
              <w:tab w:val="center" w:pos="4419"/>
              <w:tab w:val="right" w:pos="8838"/>
            </w:tabs>
            <w:suppressAutoHyphens w:val="0"/>
            <w:spacing w:line="240" w:lineRule="auto"/>
            <w:ind w:leftChars="0" w:left="0" w:firstLineChars="0" w:firstLine="0"/>
            <w:jc w:val="center"/>
            <w:textDirection w:val="lrTb"/>
            <w:textAlignment w:val="auto"/>
            <w:outlineLvl w:val="9"/>
            <w:rPr>
              <w:color w:val="000000"/>
              <w:position w:val="0"/>
              <w:lang w:val="es-CO" w:eastAsia="es-419"/>
            </w:rPr>
          </w:pPr>
          <w:r>
            <w:rPr>
              <w:color w:val="000000"/>
              <w:position w:val="0"/>
              <w:lang w:val="es-CO" w:eastAsia="es-419"/>
            </w:rPr>
            <w:t>PROF. UNIVERSITARIO S.S.T</w:t>
          </w:r>
        </w:p>
      </w:tc>
      <w:tc>
        <w:tcPr>
          <w:tcW w:w="2807" w:type="dxa"/>
        </w:tcPr>
        <w:p w14:paraId="3A7D6545" w14:textId="2B31751E" w:rsidR="0098289F" w:rsidRPr="0098289F" w:rsidRDefault="003F0E8E" w:rsidP="0098289F">
          <w:pPr>
            <w:pBdr>
              <w:top w:val="nil"/>
              <w:left w:val="nil"/>
              <w:bottom w:val="nil"/>
              <w:right w:val="nil"/>
              <w:between w:val="nil"/>
            </w:pBdr>
            <w:tabs>
              <w:tab w:val="center" w:pos="4419"/>
              <w:tab w:val="right" w:pos="8838"/>
            </w:tabs>
            <w:suppressAutoHyphens w:val="0"/>
            <w:spacing w:line="240" w:lineRule="auto"/>
            <w:ind w:leftChars="0" w:left="0" w:firstLineChars="0" w:firstLine="0"/>
            <w:jc w:val="center"/>
            <w:textDirection w:val="lrTb"/>
            <w:textAlignment w:val="auto"/>
            <w:outlineLvl w:val="9"/>
            <w:rPr>
              <w:color w:val="000000"/>
              <w:position w:val="0"/>
              <w:lang w:val="es-CO" w:eastAsia="es-419"/>
            </w:rPr>
          </w:pPr>
          <w:r>
            <w:rPr>
              <w:color w:val="000000"/>
              <w:position w:val="0"/>
              <w:lang w:val="es-CO" w:eastAsia="es-419"/>
            </w:rPr>
            <w:t>DIRECTOR ADMINISTRATIVO</w:t>
          </w:r>
        </w:p>
      </w:tc>
    </w:tr>
    <w:tr w:rsidR="0098289F" w:rsidRPr="0098289F" w14:paraId="36FA4E63" w14:textId="77777777" w:rsidTr="003F0E8E">
      <w:trPr>
        <w:trHeight w:val="84"/>
      </w:trPr>
      <w:tc>
        <w:tcPr>
          <w:tcW w:w="3510" w:type="dxa"/>
        </w:tcPr>
        <w:p w14:paraId="3F316DE9" w14:textId="5516A5FE" w:rsidR="0098289F" w:rsidRPr="0098289F" w:rsidRDefault="0012337F" w:rsidP="0098289F">
          <w:pPr>
            <w:pBdr>
              <w:top w:val="nil"/>
              <w:left w:val="nil"/>
              <w:bottom w:val="nil"/>
              <w:right w:val="nil"/>
              <w:between w:val="nil"/>
            </w:pBdr>
            <w:tabs>
              <w:tab w:val="center" w:pos="4419"/>
              <w:tab w:val="right" w:pos="8838"/>
            </w:tabs>
            <w:suppressAutoHyphens w:val="0"/>
            <w:spacing w:line="240" w:lineRule="auto"/>
            <w:ind w:leftChars="0" w:left="0" w:firstLineChars="0" w:firstLine="0"/>
            <w:jc w:val="center"/>
            <w:textDirection w:val="lrTb"/>
            <w:textAlignment w:val="auto"/>
            <w:outlineLvl w:val="9"/>
            <w:rPr>
              <w:color w:val="000000"/>
              <w:position w:val="0"/>
              <w:lang w:val="es-CO" w:eastAsia="es-419"/>
            </w:rPr>
          </w:pPr>
          <w:r>
            <w:rPr>
              <w:noProof/>
              <w:color w:val="000000"/>
              <w:position w:val="0"/>
              <w:lang w:val="es-CO" w:eastAsia="es-CO"/>
            </w:rPr>
            <w:drawing>
              <wp:anchor distT="0" distB="0" distL="114300" distR="114300" simplePos="0" relativeHeight="251662336" behindDoc="1" locked="0" layoutInCell="1" allowOverlap="1" wp14:anchorId="1546E76A" wp14:editId="2207130D">
                <wp:simplePos x="0" y="0"/>
                <wp:positionH relativeFrom="column">
                  <wp:posOffset>-780415</wp:posOffset>
                </wp:positionH>
                <wp:positionV relativeFrom="paragraph">
                  <wp:posOffset>-913130</wp:posOffset>
                </wp:positionV>
                <wp:extent cx="2680766" cy="1941830"/>
                <wp:effectExtent l="0" t="0" r="5715" b="1270"/>
                <wp:wrapNone/>
                <wp:docPr id="188053084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0766" cy="1941830"/>
                        </a:xfrm>
                        <a:prstGeom prst="rect">
                          <a:avLst/>
                        </a:prstGeom>
                        <a:noFill/>
                      </pic:spPr>
                    </pic:pic>
                  </a:graphicData>
                </a:graphic>
                <wp14:sizeRelH relativeFrom="page">
                  <wp14:pctWidth>0</wp14:pctWidth>
                </wp14:sizeRelH>
                <wp14:sizeRelV relativeFrom="page">
                  <wp14:pctHeight>0</wp14:pctHeight>
                </wp14:sizeRelV>
              </wp:anchor>
            </w:drawing>
          </w:r>
        </w:p>
      </w:tc>
      <w:tc>
        <w:tcPr>
          <w:tcW w:w="2722" w:type="dxa"/>
        </w:tcPr>
        <w:p w14:paraId="665255D7" w14:textId="18220967" w:rsidR="0098289F" w:rsidRPr="0098289F" w:rsidRDefault="0098289F" w:rsidP="0098289F">
          <w:pPr>
            <w:pBdr>
              <w:top w:val="nil"/>
              <w:left w:val="nil"/>
              <w:bottom w:val="nil"/>
              <w:right w:val="nil"/>
              <w:between w:val="nil"/>
            </w:pBdr>
            <w:tabs>
              <w:tab w:val="center" w:pos="4419"/>
              <w:tab w:val="right" w:pos="8838"/>
            </w:tabs>
            <w:suppressAutoHyphens w:val="0"/>
            <w:spacing w:line="240" w:lineRule="auto"/>
            <w:ind w:leftChars="0" w:left="0" w:firstLineChars="0" w:firstLine="0"/>
            <w:jc w:val="center"/>
            <w:textDirection w:val="lrTb"/>
            <w:textAlignment w:val="auto"/>
            <w:outlineLvl w:val="9"/>
            <w:rPr>
              <w:color w:val="000000"/>
              <w:position w:val="0"/>
              <w:lang w:val="es-CO" w:eastAsia="es-419"/>
            </w:rPr>
          </w:pPr>
        </w:p>
      </w:tc>
      <w:tc>
        <w:tcPr>
          <w:tcW w:w="2807" w:type="dxa"/>
        </w:tcPr>
        <w:p w14:paraId="7FB3FCE8" w14:textId="77777777" w:rsidR="0098289F" w:rsidRPr="0098289F" w:rsidRDefault="0098289F" w:rsidP="0098289F">
          <w:pPr>
            <w:pBdr>
              <w:top w:val="nil"/>
              <w:left w:val="nil"/>
              <w:bottom w:val="nil"/>
              <w:right w:val="nil"/>
              <w:between w:val="nil"/>
            </w:pBdr>
            <w:tabs>
              <w:tab w:val="center" w:pos="4419"/>
              <w:tab w:val="right" w:pos="8838"/>
            </w:tabs>
            <w:suppressAutoHyphens w:val="0"/>
            <w:spacing w:line="240" w:lineRule="auto"/>
            <w:ind w:leftChars="0" w:left="0" w:firstLineChars="0" w:firstLine="0"/>
            <w:jc w:val="center"/>
            <w:textDirection w:val="lrTb"/>
            <w:textAlignment w:val="auto"/>
            <w:outlineLvl w:val="9"/>
            <w:rPr>
              <w:color w:val="000000"/>
              <w:position w:val="0"/>
              <w:lang w:val="es-CO" w:eastAsia="es-419"/>
            </w:rPr>
          </w:pPr>
          <w:r w:rsidRPr="0098289F">
            <w:rPr>
              <w:color w:val="000000"/>
              <w:position w:val="0"/>
              <w:lang w:val="es-CO" w:eastAsia="es-419"/>
            </w:rPr>
            <w:t>FIRMA</w:t>
          </w:r>
        </w:p>
      </w:tc>
    </w:tr>
  </w:tbl>
  <w:p w14:paraId="01B25EC6" w14:textId="77777777" w:rsidR="00E73DA9" w:rsidRDefault="00E73DA9">
    <w:pPr>
      <w:pBdr>
        <w:top w:val="nil"/>
        <w:left w:val="nil"/>
        <w:bottom w:val="nil"/>
        <w:right w:val="nil"/>
        <w:between w:val="nil"/>
      </w:pBdr>
      <w:tabs>
        <w:tab w:val="center" w:pos="4419"/>
        <w:tab w:val="right" w:pos="8838"/>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91975" w14:textId="77777777" w:rsidR="00E73DA9" w:rsidRDefault="00E73DA9">
    <w:pPr>
      <w:pBdr>
        <w:top w:val="nil"/>
        <w:left w:val="nil"/>
        <w:bottom w:val="nil"/>
        <w:right w:val="nil"/>
        <w:between w:val="nil"/>
      </w:pBdr>
      <w:tabs>
        <w:tab w:val="center" w:pos="4419"/>
        <w:tab w:val="right" w:pos="88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D2AF0" w14:textId="77777777" w:rsidR="00F513E9" w:rsidRDefault="00F513E9">
      <w:pPr>
        <w:spacing w:line="240" w:lineRule="auto"/>
        <w:ind w:left="0" w:hanging="2"/>
      </w:pPr>
      <w:r>
        <w:separator/>
      </w:r>
    </w:p>
  </w:footnote>
  <w:footnote w:type="continuationSeparator" w:id="0">
    <w:p w14:paraId="706FD1D1" w14:textId="77777777" w:rsidR="00F513E9" w:rsidRDefault="00F513E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B4FCC" w14:textId="77777777" w:rsidR="00E73DA9" w:rsidRDefault="00E73DA9">
    <w:pPr>
      <w:pBdr>
        <w:top w:val="nil"/>
        <w:left w:val="nil"/>
        <w:bottom w:val="nil"/>
        <w:right w:val="nil"/>
        <w:between w:val="nil"/>
      </w:pBdr>
      <w:tabs>
        <w:tab w:val="center" w:pos="4252"/>
        <w:tab w:val="right" w:pos="8504"/>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DE4CA" w14:textId="2C864961" w:rsidR="00E73DA9" w:rsidRDefault="00E73DA9">
    <w:pPr>
      <w:pBdr>
        <w:top w:val="nil"/>
        <w:left w:val="nil"/>
        <w:bottom w:val="nil"/>
        <w:right w:val="nil"/>
        <w:between w:val="nil"/>
      </w:pBdr>
      <w:tabs>
        <w:tab w:val="center" w:pos="4419"/>
        <w:tab w:val="right" w:pos="8838"/>
      </w:tabs>
      <w:spacing w:line="240" w:lineRule="auto"/>
      <w:ind w:left="0" w:hanging="2"/>
      <w:rPr>
        <w:rFonts w:ascii="Times New Roman" w:eastAsia="Times New Roman" w:hAnsi="Times New Roman" w:cs="Times New Roman"/>
        <w:color w:val="000000"/>
        <w:sz w:val="20"/>
        <w:szCs w:val="20"/>
      </w:rPr>
    </w:pPr>
  </w:p>
  <w:tbl>
    <w:tblPr>
      <w:tblpPr w:leftFromText="141" w:rightFromText="141" w:vertAnchor="page" w:horzAnchor="margin" w:tblpXSpec="center" w:tblpY="123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hemeFill="accent3" w:themeFillTint="99"/>
      <w:tblLayout w:type="fixed"/>
      <w:tblLook w:val="0000" w:firstRow="0" w:lastRow="0" w:firstColumn="0" w:lastColumn="0" w:noHBand="0" w:noVBand="0"/>
    </w:tblPr>
    <w:tblGrid>
      <w:gridCol w:w="1838"/>
      <w:gridCol w:w="5812"/>
      <w:gridCol w:w="2835"/>
    </w:tblGrid>
    <w:tr w:rsidR="008A06FE" w:rsidRPr="00997CDC" w14:paraId="7164B8EF" w14:textId="77777777" w:rsidTr="008A06FE">
      <w:trPr>
        <w:trHeight w:val="699"/>
      </w:trPr>
      <w:tc>
        <w:tcPr>
          <w:tcW w:w="1838" w:type="dxa"/>
          <w:vMerge w:val="restart"/>
          <w:shd w:val="clear" w:color="auto" w:fill="D9D9D9" w:themeFill="background1" w:themeFillShade="D9"/>
          <w:vAlign w:val="center"/>
        </w:tcPr>
        <w:p w14:paraId="3921A27C" w14:textId="77777777" w:rsidR="008A06FE" w:rsidRPr="00675962" w:rsidRDefault="008A06FE" w:rsidP="008A06FE">
          <w:pPr>
            <w:pStyle w:val="Encabezado"/>
            <w:ind w:left="0" w:hanging="2"/>
            <w:jc w:val="center"/>
            <w:textDirection w:val="lrTb"/>
            <w:rPr>
              <w:b/>
              <w:i/>
            </w:rPr>
          </w:pPr>
          <w:bookmarkStart w:id="29" w:name="_Hlk196306411"/>
          <w:r>
            <w:rPr>
              <w:rFonts w:ascii="Times New Roman"/>
              <w:noProof/>
              <w:sz w:val="20"/>
              <w:lang w:val="es-CO" w:eastAsia="es-CO"/>
            </w:rPr>
            <w:drawing>
              <wp:inline distT="0" distB="0" distL="0" distR="0" wp14:anchorId="23924B8A" wp14:editId="3E68A6E7">
                <wp:extent cx="1047750" cy="1076325"/>
                <wp:effectExtent l="0" t="0" r="0" b="9525"/>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cstate="print"/>
                        <a:srcRect l="4066" t="5556" r="6503" b="5556"/>
                        <a:stretch/>
                      </pic:blipFill>
                      <pic:spPr bwMode="auto">
                        <a:xfrm>
                          <a:off x="0" y="0"/>
                          <a:ext cx="1047750" cy="1076325"/>
                        </a:xfrm>
                        <a:prstGeom prst="rect">
                          <a:avLst/>
                        </a:prstGeom>
                        <a:ln>
                          <a:noFill/>
                        </a:ln>
                        <a:extLst>
                          <a:ext uri="{53640926-AAD7-44D8-BBD7-CCE9431645EC}">
                            <a14:shadowObscured xmlns:a14="http://schemas.microsoft.com/office/drawing/2010/main"/>
                          </a:ext>
                        </a:extLst>
                      </pic:spPr>
                    </pic:pic>
                  </a:graphicData>
                </a:graphic>
              </wp:inline>
            </w:drawing>
          </w:r>
        </w:p>
      </w:tc>
      <w:tc>
        <w:tcPr>
          <w:tcW w:w="5812" w:type="dxa"/>
          <w:shd w:val="clear" w:color="auto" w:fill="D9D9D9" w:themeFill="background1" w:themeFillShade="D9"/>
          <w:vAlign w:val="center"/>
        </w:tcPr>
        <w:p w14:paraId="5A6333C1" w14:textId="77777777" w:rsidR="008A06FE" w:rsidRPr="003C1968" w:rsidRDefault="008A06FE" w:rsidP="008A06FE">
          <w:pPr>
            <w:pStyle w:val="Textonotapie"/>
            <w:snapToGrid w:val="0"/>
            <w:ind w:left="0" w:hanging="2"/>
            <w:jc w:val="center"/>
            <w:textDirection w:val="lrTb"/>
            <w:rPr>
              <w:b/>
              <w:iCs/>
              <w:sz w:val="24"/>
            </w:rPr>
          </w:pPr>
          <w:r w:rsidRPr="003C1968">
            <w:rPr>
              <w:b/>
              <w:iCs/>
              <w:sz w:val="24"/>
            </w:rPr>
            <w:t>GOBERNACION DE BOLIVAR</w:t>
          </w:r>
        </w:p>
      </w:tc>
      <w:tc>
        <w:tcPr>
          <w:tcW w:w="2835" w:type="dxa"/>
          <w:shd w:val="clear" w:color="auto" w:fill="D9D9D9" w:themeFill="background1" w:themeFillShade="D9"/>
          <w:vAlign w:val="center"/>
        </w:tcPr>
        <w:p w14:paraId="2AC5629C" w14:textId="1AA9D3E9" w:rsidR="008A06FE" w:rsidRPr="00323E39" w:rsidRDefault="008A06FE" w:rsidP="008A06FE">
          <w:pPr>
            <w:snapToGrid w:val="0"/>
            <w:ind w:leftChars="0" w:left="0" w:firstLineChars="0" w:firstLine="0"/>
            <w:textDirection w:val="lrTb"/>
            <w:rPr>
              <w:b/>
              <w:iCs/>
              <w:sz w:val="22"/>
            </w:rPr>
          </w:pPr>
          <w:r w:rsidRPr="00323E39">
            <w:rPr>
              <w:b/>
              <w:iCs/>
              <w:sz w:val="22"/>
            </w:rPr>
            <w:t xml:space="preserve">COD: </w:t>
          </w:r>
          <w:r>
            <w:rPr>
              <w:b/>
              <w:iCs/>
              <w:sz w:val="22"/>
            </w:rPr>
            <w:t xml:space="preserve"> </w:t>
          </w:r>
          <w:r w:rsidRPr="00323E39">
            <w:rPr>
              <w:b/>
              <w:iCs/>
              <w:sz w:val="22"/>
            </w:rPr>
            <w:t>FP-BIS-SST-</w:t>
          </w:r>
          <w:r>
            <w:rPr>
              <w:b/>
              <w:iCs/>
            </w:rPr>
            <w:t>FO-07</w:t>
          </w:r>
        </w:p>
      </w:tc>
    </w:tr>
    <w:tr w:rsidR="008A06FE" w:rsidRPr="00997CDC" w14:paraId="345DBEA4" w14:textId="77777777" w:rsidTr="008A06FE">
      <w:trPr>
        <w:trHeight w:hRule="exact" w:val="713"/>
      </w:trPr>
      <w:tc>
        <w:tcPr>
          <w:tcW w:w="1838" w:type="dxa"/>
          <w:vMerge/>
          <w:shd w:val="clear" w:color="auto" w:fill="D9D9D9" w:themeFill="background1" w:themeFillShade="D9"/>
        </w:tcPr>
        <w:p w14:paraId="4017A6DB" w14:textId="77777777" w:rsidR="008A06FE" w:rsidRPr="00675962" w:rsidRDefault="008A06FE" w:rsidP="008A06FE">
          <w:pPr>
            <w:pStyle w:val="Encabezado"/>
            <w:ind w:left="0" w:hanging="2"/>
            <w:jc w:val="center"/>
            <w:textDirection w:val="lrTb"/>
            <w:rPr>
              <w:b/>
              <w:i/>
            </w:rPr>
          </w:pPr>
        </w:p>
      </w:tc>
      <w:tc>
        <w:tcPr>
          <w:tcW w:w="5812" w:type="dxa"/>
          <w:shd w:val="clear" w:color="auto" w:fill="D9D9D9" w:themeFill="background1" w:themeFillShade="D9"/>
          <w:vAlign w:val="center"/>
        </w:tcPr>
        <w:p w14:paraId="6668E71D" w14:textId="77777777" w:rsidR="008A06FE" w:rsidRPr="003C1968" w:rsidRDefault="008A06FE" w:rsidP="008A06FE">
          <w:pPr>
            <w:ind w:left="0" w:hanging="2"/>
            <w:jc w:val="center"/>
            <w:textDirection w:val="lrTb"/>
            <w:rPr>
              <w:b/>
              <w:iCs/>
            </w:rPr>
          </w:pPr>
          <w:r w:rsidRPr="003C1968">
            <w:rPr>
              <w:b/>
            </w:rPr>
            <w:t>SISTEMA DE GESTIÓN DE SEGURIDAD Y SALUD EN EL TRABAJO</w:t>
          </w:r>
        </w:p>
      </w:tc>
      <w:tc>
        <w:tcPr>
          <w:tcW w:w="2835" w:type="dxa"/>
          <w:shd w:val="clear" w:color="auto" w:fill="D9D9D9" w:themeFill="background1" w:themeFillShade="D9"/>
          <w:vAlign w:val="center"/>
        </w:tcPr>
        <w:p w14:paraId="61772F48" w14:textId="77777777" w:rsidR="008A06FE" w:rsidRPr="00323E39" w:rsidRDefault="008A06FE" w:rsidP="008A06FE">
          <w:pPr>
            <w:snapToGrid w:val="0"/>
            <w:ind w:left="0" w:hanging="2"/>
            <w:jc w:val="center"/>
            <w:textDirection w:val="lrTb"/>
            <w:rPr>
              <w:b/>
              <w:iCs/>
              <w:sz w:val="22"/>
            </w:rPr>
          </w:pPr>
          <w:r w:rsidRPr="00323E39">
            <w:rPr>
              <w:b/>
              <w:iCs/>
              <w:sz w:val="22"/>
            </w:rPr>
            <w:t>VERSIÓN: 01</w:t>
          </w:r>
        </w:p>
      </w:tc>
    </w:tr>
    <w:tr w:rsidR="008A06FE" w:rsidRPr="00997CDC" w14:paraId="00ED1D86" w14:textId="77777777" w:rsidTr="008A06FE">
      <w:trPr>
        <w:trHeight w:hRule="exact" w:val="779"/>
      </w:trPr>
      <w:tc>
        <w:tcPr>
          <w:tcW w:w="1838" w:type="dxa"/>
          <w:vMerge/>
          <w:shd w:val="clear" w:color="auto" w:fill="D9D9D9" w:themeFill="background1" w:themeFillShade="D9"/>
        </w:tcPr>
        <w:p w14:paraId="0B67591F" w14:textId="77777777" w:rsidR="008A06FE" w:rsidRPr="00997CDC" w:rsidRDefault="008A06FE" w:rsidP="008A06FE">
          <w:pPr>
            <w:snapToGrid w:val="0"/>
            <w:ind w:left="0" w:hanging="2"/>
            <w:jc w:val="both"/>
            <w:textDirection w:val="lrTb"/>
            <w:rPr>
              <w:b/>
              <w:i/>
            </w:rPr>
          </w:pPr>
        </w:p>
      </w:tc>
      <w:tc>
        <w:tcPr>
          <w:tcW w:w="5812" w:type="dxa"/>
          <w:shd w:val="clear" w:color="auto" w:fill="D9D9D9" w:themeFill="background1" w:themeFillShade="D9"/>
          <w:vAlign w:val="center"/>
        </w:tcPr>
        <w:p w14:paraId="16D2AEF0" w14:textId="3C7CF2DB" w:rsidR="008A06FE" w:rsidRPr="003C1968" w:rsidRDefault="008A06FE" w:rsidP="008A06FE">
          <w:pPr>
            <w:pStyle w:val="Textonotapie"/>
            <w:snapToGrid w:val="0"/>
            <w:ind w:left="0" w:hanging="2"/>
            <w:jc w:val="center"/>
            <w:textDirection w:val="lrTb"/>
            <w:rPr>
              <w:b/>
              <w:iCs/>
              <w:sz w:val="24"/>
            </w:rPr>
          </w:pPr>
          <w:r>
            <w:rPr>
              <w:rFonts w:eastAsia="Arial"/>
              <w:b/>
              <w:sz w:val="24"/>
            </w:rPr>
            <w:t>PROGRAMA DE INDUCCIÓN Y ENTRENAMIENTO</w:t>
          </w:r>
        </w:p>
      </w:tc>
      <w:tc>
        <w:tcPr>
          <w:tcW w:w="2835" w:type="dxa"/>
          <w:shd w:val="clear" w:color="auto" w:fill="D9D9D9" w:themeFill="background1" w:themeFillShade="D9"/>
          <w:vAlign w:val="center"/>
        </w:tcPr>
        <w:p w14:paraId="2B8DFB44" w14:textId="77777777" w:rsidR="008A06FE" w:rsidRPr="00323E39" w:rsidRDefault="008A06FE" w:rsidP="008A06FE">
          <w:pPr>
            <w:snapToGrid w:val="0"/>
            <w:ind w:left="0" w:hanging="2"/>
            <w:jc w:val="center"/>
            <w:textDirection w:val="lrTb"/>
            <w:rPr>
              <w:b/>
              <w:iCs/>
              <w:sz w:val="22"/>
            </w:rPr>
          </w:pPr>
          <w:r w:rsidRPr="00323E39">
            <w:rPr>
              <w:b/>
              <w:iCs/>
              <w:sz w:val="22"/>
            </w:rPr>
            <w:t>FECHA: 04/06/2025</w:t>
          </w:r>
        </w:p>
      </w:tc>
    </w:tr>
    <w:bookmarkEnd w:id="29"/>
  </w:tbl>
  <w:p w14:paraId="26723CA9" w14:textId="207D80DF" w:rsidR="00E73DA9" w:rsidRDefault="00E73DA9">
    <w:pPr>
      <w:pBdr>
        <w:top w:val="nil"/>
        <w:left w:val="nil"/>
        <w:bottom w:val="nil"/>
        <w:right w:val="nil"/>
        <w:between w:val="nil"/>
      </w:pBdr>
      <w:tabs>
        <w:tab w:val="center" w:pos="4419"/>
        <w:tab w:val="right" w:pos="8838"/>
      </w:tabs>
      <w:spacing w:line="240" w:lineRule="auto"/>
      <w:ind w:left="0" w:hanging="2"/>
      <w:rPr>
        <w:rFonts w:ascii="Times New Roman" w:eastAsia="Times New Roman" w:hAnsi="Times New Roman" w:cs="Times New Roman"/>
        <w:color w:val="000000"/>
        <w:sz w:val="20"/>
        <w:szCs w:val="20"/>
      </w:rPr>
    </w:pPr>
  </w:p>
  <w:p w14:paraId="09C59F2A" w14:textId="0590CE05" w:rsidR="008A06FE" w:rsidRDefault="008A06FE">
    <w:pPr>
      <w:pBdr>
        <w:top w:val="nil"/>
        <w:left w:val="nil"/>
        <w:bottom w:val="nil"/>
        <w:right w:val="nil"/>
        <w:between w:val="nil"/>
      </w:pBdr>
      <w:tabs>
        <w:tab w:val="center" w:pos="4419"/>
        <w:tab w:val="right" w:pos="8838"/>
      </w:tabs>
      <w:spacing w:line="240" w:lineRule="auto"/>
      <w:ind w:left="0" w:hanging="2"/>
      <w:rPr>
        <w:rFonts w:ascii="Times New Roman" w:eastAsia="Times New Roman" w:hAnsi="Times New Roman" w:cs="Times New Roman"/>
        <w:color w:val="000000"/>
        <w:sz w:val="20"/>
        <w:szCs w:val="20"/>
      </w:rPr>
    </w:pPr>
  </w:p>
  <w:p w14:paraId="1F3C4FE3" w14:textId="77777777" w:rsidR="008A06FE" w:rsidRDefault="008A06FE">
    <w:pPr>
      <w:pBdr>
        <w:top w:val="nil"/>
        <w:left w:val="nil"/>
        <w:bottom w:val="nil"/>
        <w:right w:val="nil"/>
        <w:between w:val="nil"/>
      </w:pBdr>
      <w:tabs>
        <w:tab w:val="center" w:pos="4419"/>
        <w:tab w:val="right" w:pos="8838"/>
      </w:tabs>
      <w:spacing w:line="240" w:lineRule="auto"/>
      <w:ind w:left="0" w:hanging="2"/>
      <w:rPr>
        <w:rFonts w:ascii="Times New Roman" w:eastAsia="Times New Roman" w:hAnsi="Times New Roman" w:cs="Times New Roman"/>
        <w:color w:val="000000"/>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F1BF2" w14:textId="77777777" w:rsidR="00E73DA9" w:rsidRDefault="00E73DA9">
    <w:pPr>
      <w:pBdr>
        <w:top w:val="nil"/>
        <w:left w:val="nil"/>
        <w:bottom w:val="nil"/>
        <w:right w:val="nil"/>
        <w:between w:val="nil"/>
      </w:pBdr>
      <w:tabs>
        <w:tab w:val="center" w:pos="4252"/>
        <w:tab w:val="right" w:pos="8504"/>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C02274"/>
    <w:multiLevelType w:val="multilevel"/>
    <w:tmpl w:val="F560F1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D4628F7"/>
    <w:multiLevelType w:val="multilevel"/>
    <w:tmpl w:val="90EEA2A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DA9"/>
    <w:rsid w:val="00061C3F"/>
    <w:rsid w:val="0012337F"/>
    <w:rsid w:val="003F0E8E"/>
    <w:rsid w:val="004C21FF"/>
    <w:rsid w:val="00866431"/>
    <w:rsid w:val="008A06FE"/>
    <w:rsid w:val="0098289F"/>
    <w:rsid w:val="00AD12B7"/>
    <w:rsid w:val="00E73DA9"/>
    <w:rsid w:val="00E772F0"/>
    <w:rsid w:val="00F513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BAED7"/>
  <w15:docId w15:val="{40A36DF6-2144-47D4-9FDD-8BF2A75AD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s-ES" w:eastAsia="es-CO"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Normal"/>
    <w:next w:val="Normal"/>
    <w:uiPriority w:val="9"/>
    <w:qFormat/>
    <w:pPr>
      <w:keepNext/>
      <w:spacing w:before="240" w:after="60"/>
    </w:pPr>
    <w:rPr>
      <w:rFonts w:ascii="Cambria" w:eastAsia="Times New Roman" w:hAnsi="Cambria" w:cs="Times New Roman"/>
      <w:b/>
      <w:bCs/>
      <w:kern w:val="32"/>
      <w:sz w:val="32"/>
      <w:szCs w:val="32"/>
    </w:rPr>
  </w:style>
  <w:style w:type="paragraph" w:styleId="Ttulo2">
    <w:name w:val="heading 2"/>
    <w:basedOn w:val="Normal"/>
    <w:next w:val="Normal"/>
    <w:uiPriority w:val="9"/>
    <w:semiHidden/>
    <w:unhideWhenUsed/>
    <w:qFormat/>
    <w:pPr>
      <w:ind w:left="270" w:hanging="270"/>
      <w:jc w:val="both"/>
      <w:outlineLvl w:val="1"/>
    </w:pPr>
    <w:rPr>
      <w:rFonts w:ascii="Arial Narrow" w:hAnsi="Arial Narrow"/>
      <w:b/>
      <w:snapToGrid w:val="0"/>
      <w:sz w:val="32"/>
    </w:rPr>
  </w:style>
  <w:style w:type="paragraph" w:styleId="Ttulo3">
    <w:name w:val="heading 3"/>
    <w:basedOn w:val="Normal"/>
    <w:next w:val="Normal"/>
    <w:uiPriority w:val="9"/>
    <w:semiHidden/>
    <w:unhideWhenUsed/>
    <w:qFormat/>
    <w:pPr>
      <w:keepNext/>
      <w:spacing w:before="240" w:after="60"/>
      <w:outlineLvl w:val="2"/>
    </w:pPr>
    <w:rPr>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240" w:after="60"/>
      <w:jc w:val="center"/>
    </w:pPr>
    <w:rPr>
      <w:rFonts w:ascii="Cambria" w:eastAsia="Times New Roman" w:hAnsi="Cambria" w:cs="Times New Roman"/>
      <w:b/>
      <w:bCs/>
      <w:kern w:val="28"/>
      <w:sz w:val="32"/>
      <w:szCs w:val="32"/>
    </w:rPr>
  </w:style>
  <w:style w:type="table" w:customStyle="1" w:styleId="TableNormal0">
    <w:name w:val="Table Normal"/>
    <w:tblPr>
      <w:tblCellMar>
        <w:top w:w="0" w:type="dxa"/>
        <w:left w:w="0" w:type="dxa"/>
        <w:bottom w:w="0" w:type="dxa"/>
        <w:right w:w="0" w:type="dxa"/>
      </w:tblCellMar>
    </w:tblPr>
  </w:style>
  <w:style w:type="paragraph" w:styleId="Textoindependiente">
    <w:name w:val="Body Text"/>
    <w:basedOn w:val="Normal"/>
    <w:pPr>
      <w:jc w:val="both"/>
    </w:pPr>
    <w:rPr>
      <w:rFonts w:ascii="Tahoma" w:hAnsi="Tahoma"/>
      <w:lang w:eastAsia="en-US"/>
    </w:r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szCs w:val="16"/>
    </w:rPr>
  </w:style>
  <w:style w:type="paragraph" w:styleId="Textoindependiente3">
    <w:name w:val="Body Text 3"/>
    <w:basedOn w:val="Normal"/>
    <w:pPr>
      <w:spacing w:after="120"/>
    </w:pPr>
    <w:rPr>
      <w:sz w:val="16"/>
      <w:szCs w:val="16"/>
    </w:rPr>
  </w:style>
  <w:style w:type="paragraph" w:styleId="Textodebloque">
    <w:name w:val="Block Text"/>
    <w:basedOn w:val="Normal"/>
    <w:pPr>
      <w:spacing w:line="360" w:lineRule="auto"/>
      <w:ind w:left="240" w:right="430"/>
      <w:jc w:val="both"/>
    </w:pPr>
    <w:rPr>
      <w:sz w:val="22"/>
      <w:lang w:eastAsia="en-US"/>
    </w:rPr>
  </w:style>
  <w:style w:type="paragraph" w:customStyle="1" w:styleId="Encabezadoencabezado">
    <w:name w:val="Encabezado;encabezado"/>
    <w:basedOn w:val="Normal"/>
    <w:pPr>
      <w:tabs>
        <w:tab w:val="center" w:pos="4419"/>
        <w:tab w:val="right" w:pos="8838"/>
      </w:tabs>
    </w:pPr>
    <w:rPr>
      <w:rFonts w:ascii="Times New Roman" w:hAnsi="Times New Roman"/>
      <w:sz w:val="20"/>
      <w:lang w:eastAsia="en-US"/>
    </w:rPr>
  </w:style>
  <w:style w:type="paragraph" w:styleId="Piedepgina">
    <w:name w:val="footer"/>
    <w:basedOn w:val="Normal"/>
    <w:pPr>
      <w:tabs>
        <w:tab w:val="center" w:pos="4419"/>
        <w:tab w:val="right" w:pos="8838"/>
      </w:tabs>
    </w:pPr>
  </w:style>
  <w:style w:type="character" w:customStyle="1" w:styleId="PiedepginaCar">
    <w:name w:val="Pie de página Car"/>
    <w:rPr>
      <w:rFonts w:ascii="Arial" w:hAnsi="Arial"/>
      <w:w w:val="100"/>
      <w:position w:val="-1"/>
      <w:sz w:val="24"/>
      <w:effect w:val="none"/>
      <w:vertAlign w:val="baseline"/>
      <w:cs w:val="0"/>
      <w:em w:val="none"/>
      <w:lang w:val="es-ES" w:eastAsia="es-ES"/>
    </w:rPr>
  </w:style>
  <w:style w:type="character" w:customStyle="1" w:styleId="EncabezadoCarencabezadoCar">
    <w:name w:val="Encabezado Car;encabezado Car"/>
    <w:rPr>
      <w:w w:val="100"/>
      <w:position w:val="-1"/>
      <w:effect w:val="none"/>
      <w:vertAlign w:val="baseline"/>
      <w:cs w:val="0"/>
      <w:em w:val="none"/>
      <w:lang w:val="es-ES" w:eastAsia="en-US"/>
    </w:rPr>
  </w:style>
  <w:style w:type="character" w:customStyle="1" w:styleId="TtuloCar">
    <w:name w:val="Título Car"/>
    <w:rPr>
      <w:rFonts w:ascii="Cambria" w:eastAsia="Times New Roman" w:hAnsi="Cambria" w:cs="Times New Roman"/>
      <w:b/>
      <w:bCs/>
      <w:w w:val="100"/>
      <w:kern w:val="28"/>
      <w:position w:val="-1"/>
      <w:sz w:val="32"/>
      <w:szCs w:val="32"/>
      <w:effect w:val="none"/>
      <w:vertAlign w:val="baseline"/>
      <w:cs w:val="0"/>
      <w:em w:val="none"/>
      <w:lang w:val="es-ES" w:eastAsia="es-ES"/>
    </w:rPr>
  </w:style>
  <w:style w:type="paragraph" w:styleId="TDC1">
    <w:name w:val="toc 1"/>
    <w:basedOn w:val="Normal"/>
    <w:next w:val="Normal"/>
  </w:style>
  <w:style w:type="paragraph" w:styleId="TDC2">
    <w:name w:val="toc 2"/>
    <w:basedOn w:val="Normal"/>
    <w:next w:val="Normal"/>
    <w:pPr>
      <w:ind w:left="240"/>
    </w:pPr>
  </w:style>
  <w:style w:type="paragraph" w:styleId="TDC3">
    <w:name w:val="toc 3"/>
    <w:basedOn w:val="Normal"/>
    <w:next w:val="Normal"/>
    <w:pPr>
      <w:ind w:left="480"/>
    </w:pPr>
  </w:style>
  <w:style w:type="character" w:styleId="Hipervnculo">
    <w:name w:val="Hyperlink"/>
    <w:qFormat/>
    <w:rPr>
      <w:color w:val="0000FF"/>
      <w:w w:val="100"/>
      <w:position w:val="-1"/>
      <w:u w:val="single"/>
      <w:effect w:val="none"/>
      <w:vertAlign w:val="baseline"/>
      <w:cs w:val="0"/>
      <w:em w:val="none"/>
    </w:rPr>
  </w:style>
  <w:style w:type="character" w:customStyle="1" w:styleId="Ttulo1Car">
    <w:name w:val="Título 1 Car"/>
    <w:rPr>
      <w:rFonts w:ascii="Cambria" w:eastAsia="Times New Roman" w:hAnsi="Cambria" w:cs="Times New Roman"/>
      <w:b/>
      <w:bCs/>
      <w:w w:val="100"/>
      <w:kern w:val="32"/>
      <w:position w:val="-1"/>
      <w:sz w:val="32"/>
      <w:szCs w:val="32"/>
      <w:effect w:val="none"/>
      <w:vertAlign w:val="baseline"/>
      <w:cs w:val="0"/>
      <w:em w:val="none"/>
      <w:lang w:val="es-ES" w:eastAsia="es-ES"/>
    </w:rPr>
  </w:style>
  <w:style w:type="paragraph" w:styleId="Prrafodelista">
    <w:name w:val="List Paragraph"/>
    <w:basedOn w:val="Normal"/>
    <w:pPr>
      <w:ind w:left="720"/>
      <w:contextualSpacing/>
    </w:pPr>
    <w:rPr>
      <w:rFonts w:eastAsia="Calibri"/>
      <w:lang w:val="es-CO" w:eastAsia="es-CO"/>
    </w:rPr>
  </w:style>
  <w:style w:type="paragraph" w:styleId="Textonotapie">
    <w:name w:val="footnote text"/>
    <w:basedOn w:val="Normal"/>
    <w:qFormat/>
    <w:rPr>
      <w:rFonts w:eastAsia="Calibri"/>
      <w:sz w:val="20"/>
    </w:rPr>
  </w:style>
  <w:style w:type="character" w:customStyle="1" w:styleId="TextonotapieCar">
    <w:name w:val="Texto nota pie Car"/>
    <w:rPr>
      <w:rFonts w:ascii="Arial" w:eastAsia="Calibri" w:hAnsi="Arial" w:cs="Arial"/>
      <w:w w:val="100"/>
      <w:position w:val="-1"/>
      <w:effect w:val="none"/>
      <w:vertAlign w:val="baseline"/>
      <w:cs w:val="0"/>
      <w:em w:val="none"/>
    </w:rPr>
  </w:style>
  <w:style w:type="character" w:styleId="Refdenotaalpie">
    <w:name w:val="footnote reference"/>
    <w:qFormat/>
    <w:rPr>
      <w:w w:val="100"/>
      <w:position w:val="-1"/>
      <w:effect w:val="none"/>
      <w:vertAlign w:val="superscript"/>
      <w:cs w:val="0"/>
      <w:em w:val="none"/>
    </w:rPr>
  </w:style>
  <w:style w:type="paragraph" w:styleId="NormalWeb">
    <w:name w:val="Normal (Web)"/>
    <w:basedOn w:val="Normal"/>
    <w:pPr>
      <w:spacing w:before="100" w:beforeAutospacing="1" w:after="100" w:afterAutospacing="1"/>
    </w:pPr>
    <w:rPr>
      <w:rFonts w:ascii="Times New Roman" w:hAnsi="Times New Roman"/>
    </w:rPr>
  </w:style>
  <w:style w:type="paragraph" w:customStyle="1" w:styleId="estilo2">
    <w:name w:val="estilo2"/>
    <w:basedOn w:val="Normal"/>
    <w:pPr>
      <w:spacing w:before="100" w:beforeAutospacing="1" w:after="100" w:afterAutospacing="1"/>
    </w:pPr>
    <w:rPr>
      <w:rFonts w:ascii="Times New Roman" w:hAnsi="Times New Roman"/>
    </w:rPr>
  </w:style>
  <w:style w:type="paragraph" w:styleId="Sinespaciado">
    <w:name w:val="No Spacing"/>
    <w:pPr>
      <w:suppressAutoHyphens/>
      <w:spacing w:line="1" w:lineRule="atLeast"/>
      <w:ind w:leftChars="-1" w:left="-1" w:hangingChars="1"/>
      <w:textDirection w:val="btLr"/>
      <w:textAlignment w:val="top"/>
      <w:outlineLvl w:val="0"/>
    </w:pPr>
    <w:rPr>
      <w:position w:val="-1"/>
      <w:lang w:val="es-CO"/>
    </w:rPr>
  </w:style>
  <w:style w:type="character" w:customStyle="1" w:styleId="SinespaciadoCar">
    <w:name w:val="Sin espaciado Car"/>
    <w:rPr>
      <w:rFonts w:ascii="Arial" w:hAnsi="Arial" w:cs="Arial"/>
      <w:w w:val="100"/>
      <w:position w:val="-1"/>
      <w:sz w:val="24"/>
      <w:szCs w:val="24"/>
      <w:effect w:val="none"/>
      <w:vertAlign w:val="baseline"/>
      <w:cs w:val="0"/>
      <w:em w:val="none"/>
    </w:rPr>
  </w:style>
  <w:style w:type="paragraph" w:styleId="Textodeglobo">
    <w:name w:val="Balloon Text"/>
    <w:basedOn w:val="Normal"/>
    <w:rPr>
      <w:rFonts w:ascii="Segoe UI" w:hAnsi="Segoe UI" w:cs="Segoe UI"/>
      <w:sz w:val="18"/>
      <w:szCs w:val="18"/>
    </w:rPr>
  </w:style>
  <w:style w:type="character" w:customStyle="1" w:styleId="TextodegloboCar">
    <w:name w:val="Texto de globo Car"/>
    <w:rPr>
      <w:rFonts w:ascii="Segoe UI" w:hAnsi="Segoe UI" w:cs="Segoe UI"/>
      <w:w w:val="100"/>
      <w:position w:val="-1"/>
      <w:sz w:val="18"/>
      <w:szCs w:val="18"/>
      <w:effect w:val="none"/>
      <w:vertAlign w:val="baseline"/>
      <w:cs w:val="0"/>
      <w:em w:val="none"/>
      <w:lang w:val="es-ES" w:eastAsia="es-ES"/>
    </w:rPr>
  </w:style>
  <w:style w:type="paragraph" w:styleId="Textonotaalfinal">
    <w:name w:val="endnote text"/>
    <w:basedOn w:val="Normal"/>
    <w:rPr>
      <w:sz w:val="20"/>
    </w:rPr>
  </w:style>
  <w:style w:type="character" w:customStyle="1" w:styleId="TextonotaalfinalCar">
    <w:name w:val="Texto nota al final Car"/>
    <w:rPr>
      <w:rFonts w:ascii="Arial" w:hAnsi="Arial"/>
      <w:w w:val="100"/>
      <w:position w:val="-1"/>
      <w:effect w:val="none"/>
      <w:vertAlign w:val="baseline"/>
      <w:cs w:val="0"/>
      <w:em w:val="none"/>
      <w:lang w:val="es-ES" w:eastAsia="es-ES"/>
    </w:rPr>
  </w:style>
  <w:style w:type="character" w:styleId="Refdenotaalfinal">
    <w:name w:val="endnote reference"/>
    <w:rPr>
      <w:w w:val="100"/>
      <w:position w:val="-1"/>
      <w:effect w:val="none"/>
      <w:vertAlign w:val="superscript"/>
      <w:cs w:val="0"/>
      <w:em w:val="none"/>
    </w:rPr>
  </w:style>
  <w:style w:type="paragraph" w:customStyle="1" w:styleId="TtulodeTDC">
    <w:name w:val="Título de TDC"/>
    <w:basedOn w:val="Ttulo1"/>
    <w:next w:val="Normal"/>
    <w:qFormat/>
    <w:pPr>
      <w:keepLines/>
      <w:spacing w:after="0" w:line="259" w:lineRule="auto"/>
      <w:outlineLvl w:val="9"/>
    </w:pPr>
    <w:rPr>
      <w:rFonts w:ascii="Calibri Light" w:hAnsi="Calibri Light"/>
      <w:b w:val="0"/>
      <w:bCs w:val="0"/>
      <w:color w:val="2E74B5"/>
      <w:kern w:val="0"/>
      <w:lang w:val="es-CO" w:eastAsia="en-US"/>
    </w:rPr>
  </w:style>
  <w:style w:type="paragraph" w:styleId="Textosinformato">
    <w:name w:val="Plain Text"/>
    <w:basedOn w:val="Normal"/>
    <w:rPr>
      <w:rFonts w:ascii="Courier New" w:hAnsi="Courier New"/>
      <w:sz w:val="20"/>
    </w:rPr>
  </w:style>
  <w:style w:type="character" w:customStyle="1" w:styleId="TextosinformatoCar">
    <w:name w:val="Texto sin formato Car"/>
    <w:rPr>
      <w:rFonts w:ascii="Courier New" w:hAnsi="Courier New"/>
      <w:w w:val="100"/>
      <w:position w:val="-1"/>
      <w:effect w:val="none"/>
      <w:vertAlign w:val="baseline"/>
      <w:cs w:val="0"/>
      <w:em w:val="none"/>
      <w:lang w:val="es-ES" w:eastAsia="es-ES"/>
    </w:rPr>
  </w:style>
  <w:style w:type="character" w:styleId="Textoennegrita">
    <w:name w:val="Strong"/>
    <w:rPr>
      <w:b/>
      <w:bCs/>
      <w:w w:val="100"/>
      <w:position w:val="-1"/>
      <w:effect w:val="none"/>
      <w:vertAlign w:val="baseline"/>
      <w:cs w:val="0"/>
      <w:em w:val="none"/>
    </w:rPr>
  </w:style>
  <w:style w:type="table" w:styleId="Tablaconcuadrcula">
    <w:name w:val="Table Grid"/>
    <w:basedOn w:val="Tablanormal"/>
    <w:uiPriority w:val="39"/>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Calibri" w:eastAsia="SimSun" w:hAnsi="Calibri" w:cs="Calibri"/>
      <w:color w:val="000000"/>
      <w:position w:val="-1"/>
      <w:lang w:val="es-CO" w:eastAsia="zh-CN"/>
    </w:rPr>
  </w:style>
  <w:style w:type="table" w:customStyle="1" w:styleId="Tablaconcuadrcula2">
    <w:name w:val="Tabla con cuadrícula2"/>
    <w:basedOn w:val="Tablanormal"/>
    <w:next w:val="Tablaconcuadrcula"/>
    <w:pPr>
      <w:suppressAutoHyphens/>
      <w:spacing w:line="1" w:lineRule="atLeast"/>
      <w:ind w:leftChars="-1" w:left="-1" w:hangingChars="1"/>
      <w:textDirection w:val="btLr"/>
      <w:textAlignment w:val="top"/>
      <w:outlineLvl w:val="0"/>
    </w:pPr>
    <w:rPr>
      <w:rFonts w:ascii="Calibri" w:eastAsia="Calibri" w:hAnsi="Calibri" w:cs="Times New Roman"/>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paragraph" w:styleId="Encabezado">
    <w:name w:val="header"/>
    <w:aliases w:val="Encabezado1"/>
    <w:basedOn w:val="Normal"/>
    <w:link w:val="EncabezadoCar"/>
    <w:unhideWhenUsed/>
    <w:rsid w:val="009537C8"/>
    <w:pPr>
      <w:tabs>
        <w:tab w:val="center" w:pos="4252"/>
        <w:tab w:val="right" w:pos="8504"/>
      </w:tabs>
      <w:spacing w:line="240" w:lineRule="auto"/>
    </w:pPr>
  </w:style>
  <w:style w:type="character" w:customStyle="1" w:styleId="EncabezadoCar">
    <w:name w:val="Encabezado Car"/>
    <w:aliases w:val="Encabezado1 Car"/>
    <w:basedOn w:val="Fuentedeprrafopredeter"/>
    <w:link w:val="Encabezado"/>
    <w:rsid w:val="009537C8"/>
    <w:rPr>
      <w:position w:val="-1"/>
      <w:lang w:eastAsia="es-ES"/>
    </w:r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Tablaconcuadrcula1">
    <w:name w:val="Tabla con cuadrícula1"/>
    <w:basedOn w:val="Tablanormal"/>
    <w:next w:val="Tablaconcuadrcula"/>
    <w:uiPriority w:val="39"/>
    <w:rsid w:val="0098289F"/>
    <w:pPr>
      <w:ind w:firstLine="0"/>
    </w:pPr>
    <w:rPr>
      <w:rFonts w:ascii="Calibri" w:eastAsia="Calibri" w:hAnsi="Calibri" w:cs="Calibri"/>
      <w:sz w:val="22"/>
      <w:szCs w:val="22"/>
      <w:lang w:eastAsia="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alcaldiabogota.gov.co/sisjur/normas/Norma1.jsp?i=262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caldiabogota.gov.co/sisjur/normas/Norma1.jsp?i=2629"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KzjPMBAPzE5CQT7ma5SNgxzFIA==">CgMxLjAyCWguMzBqMHpsbDIJaC4xZm9iOXRlMgloLjN6bnlzaDcyCWguMmV0OTJwMDIJaWQudHlqY3d0MgppZ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MnAyY3NyeTgAciExSTlWb0xVZGlPd1NuOGNEQVNvdTJKRk5wcFhuVmE4N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4030</Words>
  <Characters>22166</Characters>
  <Application>Microsoft Office Word</Application>
  <DocSecurity>0</DocSecurity>
  <Lines>184</Lines>
  <Paragraphs>52</Paragraphs>
  <ScaleCrop>false</ScaleCrop>
  <Company/>
  <LinksUpToDate>false</LinksUpToDate>
  <CharactersWithSpaces>26144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Reyes</dc:creator>
  <cp:lastModifiedBy>Hector Pinedo</cp:lastModifiedBy>
  <cp:revision>10</cp:revision>
  <dcterms:created xsi:type="dcterms:W3CDTF">2022-06-14T15:35:00Z</dcterms:created>
  <dcterms:modified xsi:type="dcterms:W3CDTF">2025-06-04T16:07:00Z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2025-05-03T17:45:50Z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4248d058-55f8-4212-a6b9-af6dea0ad9b5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