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F3FF0" w14:textId="77777777" w:rsidR="00022705" w:rsidRDefault="00022705">
      <w:pPr>
        <w:widowControl w:val="0"/>
        <w:pBdr>
          <w:top w:val="nil"/>
          <w:left w:val="nil"/>
          <w:bottom w:val="nil"/>
          <w:right w:val="nil"/>
          <w:between w:val="nil"/>
        </w:pBdr>
        <w:spacing w:after="0" w:line="360" w:lineRule="auto"/>
        <w:ind w:right="142"/>
        <w:jc w:val="both"/>
        <w:rPr>
          <w:rFonts w:ascii="Arial" w:eastAsia="Arial" w:hAnsi="Arial" w:cs="Arial"/>
          <w:b/>
          <w:color w:val="000000"/>
          <w:sz w:val="24"/>
          <w:szCs w:val="24"/>
        </w:rPr>
      </w:pPr>
    </w:p>
    <w:p w14:paraId="4FE45F41" w14:textId="27B4A449" w:rsidR="00FC2B78" w:rsidRDefault="00494310">
      <w:pPr>
        <w:widowControl w:val="0"/>
        <w:numPr>
          <w:ilvl w:val="0"/>
          <w:numId w:val="1"/>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bookmarkStart w:id="0" w:name="_GoBack"/>
      <w:bookmarkEnd w:id="0"/>
      <w:r>
        <w:rPr>
          <w:rFonts w:ascii="Arial" w:eastAsia="Arial" w:hAnsi="Arial" w:cs="Arial"/>
          <w:b/>
          <w:color w:val="000000"/>
          <w:sz w:val="24"/>
          <w:szCs w:val="24"/>
        </w:rPr>
        <w:t>OBJETO</w:t>
      </w:r>
    </w:p>
    <w:p w14:paraId="07271BF4" w14:textId="7D788F01"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Desarrollar un Programa de Vigilancia Epidemiológica con el fin de Identificar, prevenir, detectar de manera precoz, la población con diagnóstico de patologías visuales asociadas a la exposición a iluminación y radiación ultravioleta en las áreas de trabajo de </w:t>
      </w:r>
      <w:r>
        <w:rPr>
          <w:rFonts w:ascii="Arial" w:eastAsia="Arial" w:hAnsi="Arial" w:cs="Arial"/>
          <w:color w:val="000000"/>
        </w:rPr>
        <w:t xml:space="preserve">la </w:t>
      </w:r>
      <w:r w:rsidR="005378BA">
        <w:rPr>
          <w:rFonts w:ascii="Arial" w:eastAsia="Arial" w:hAnsi="Arial" w:cs="Arial"/>
          <w:b/>
          <w:i/>
          <w:color w:val="000000"/>
        </w:rPr>
        <w:t>GOBERNACION DE BOLIVAR</w:t>
      </w:r>
      <w:r>
        <w:rPr>
          <w:rFonts w:ascii="Arial" w:eastAsia="Arial" w:hAnsi="Arial" w:cs="Arial"/>
          <w:b/>
          <w:i/>
          <w:color w:val="000000"/>
        </w:rPr>
        <w:t xml:space="preserve">, </w:t>
      </w:r>
      <w:r>
        <w:rPr>
          <w:rFonts w:ascii="Arial" w:eastAsia="Arial" w:hAnsi="Arial" w:cs="Arial"/>
          <w:color w:val="000000"/>
          <w:sz w:val="24"/>
          <w:szCs w:val="24"/>
        </w:rPr>
        <w:t>con el objetivo de controlar los casos identificados, así como explosión a factores de riesgo asociados a la ocurrencia de patologías visuales.</w:t>
      </w:r>
    </w:p>
    <w:p w14:paraId="0268233B"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701C3BC3" w14:textId="77777777" w:rsidR="00FC2B78" w:rsidRDefault="00494310">
      <w:pPr>
        <w:widowControl w:val="0"/>
        <w:numPr>
          <w:ilvl w:val="0"/>
          <w:numId w:val="1"/>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ALCANCE</w:t>
      </w:r>
    </w:p>
    <w:p w14:paraId="062DA3ED" w14:textId="5E190022"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Este programa aplica para todo el personal que está expuesto a iluminación y radiación </w:t>
      </w:r>
      <w:r>
        <w:rPr>
          <w:rFonts w:ascii="Arial" w:eastAsia="Arial" w:hAnsi="Arial" w:cs="Arial"/>
          <w:sz w:val="24"/>
          <w:szCs w:val="24"/>
        </w:rPr>
        <w:t>ultravioleta</w:t>
      </w:r>
      <w:r>
        <w:rPr>
          <w:rFonts w:ascii="Arial" w:eastAsia="Arial" w:hAnsi="Arial" w:cs="Arial"/>
          <w:color w:val="000000"/>
          <w:sz w:val="24"/>
          <w:szCs w:val="24"/>
        </w:rPr>
        <w:t xml:space="preserve"> de </w:t>
      </w:r>
      <w:r>
        <w:rPr>
          <w:rFonts w:ascii="Arial" w:eastAsia="Arial" w:hAnsi="Arial" w:cs="Arial"/>
          <w:color w:val="000000"/>
        </w:rPr>
        <w:t>la</w:t>
      </w:r>
      <w:r w:rsidR="005378BA">
        <w:rPr>
          <w:rFonts w:ascii="Arial" w:eastAsia="Arial" w:hAnsi="Arial" w:cs="Arial"/>
          <w:color w:val="000000"/>
        </w:rPr>
        <w:t xml:space="preserve"> </w:t>
      </w:r>
      <w:r w:rsidR="005378BA">
        <w:rPr>
          <w:rFonts w:ascii="Arial" w:eastAsia="Arial" w:hAnsi="Arial" w:cs="Arial"/>
          <w:b/>
          <w:i/>
          <w:color w:val="000000"/>
        </w:rPr>
        <w:t>GOBERNACION DE BOLIVAR</w:t>
      </w:r>
      <w:r>
        <w:rPr>
          <w:rFonts w:ascii="Arial" w:eastAsia="Arial" w:hAnsi="Arial" w:cs="Arial"/>
          <w:b/>
          <w:i/>
          <w:color w:val="000000"/>
        </w:rPr>
        <w:t xml:space="preserve"> </w:t>
      </w:r>
      <w:r>
        <w:rPr>
          <w:rFonts w:ascii="Arial" w:eastAsia="Arial" w:hAnsi="Arial" w:cs="Arial"/>
          <w:color w:val="000000"/>
          <w:sz w:val="24"/>
          <w:szCs w:val="24"/>
        </w:rPr>
        <w:t>y específicamente a los trabajadores que hayan presentado alteraciones visuales por causa del trabajo, de acuerdo a los resultados de los exámenes médicos ocupacionales.</w:t>
      </w:r>
    </w:p>
    <w:p w14:paraId="1FF67DDC"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4E4734B1" w14:textId="77777777" w:rsidR="00FC2B78" w:rsidRDefault="00494310">
      <w:pPr>
        <w:widowControl w:val="0"/>
        <w:numPr>
          <w:ilvl w:val="0"/>
          <w:numId w:val="1"/>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DEFINICIONES</w:t>
      </w:r>
    </w:p>
    <w:p w14:paraId="1CBD46FD" w14:textId="77777777" w:rsidR="00FC2B78" w:rsidRDefault="00494310">
      <w:pPr>
        <w:widowControl w:val="0"/>
        <w:numPr>
          <w:ilvl w:val="1"/>
          <w:numId w:val="8"/>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b/>
          <w:color w:val="000000"/>
          <w:sz w:val="24"/>
          <w:szCs w:val="24"/>
        </w:rPr>
        <w:t>Examen médico ocupacional:</w:t>
      </w:r>
      <w:r>
        <w:rPr>
          <w:rFonts w:ascii="Arial" w:eastAsia="Arial" w:hAnsi="Arial" w:cs="Arial"/>
          <w:color w:val="000000"/>
          <w:sz w:val="24"/>
          <w:szCs w:val="24"/>
        </w:rPr>
        <w:t xml:space="preserve"> Enfocado a evaluar la aptitud y condiciones de salud del servidor de acuerdo con las características del trabajo a desarrollar y según los riesgos ocupacionales a los cuales va a estar expuesto.</w:t>
      </w:r>
    </w:p>
    <w:p w14:paraId="245925D6" w14:textId="77777777" w:rsidR="00FC2B78" w:rsidRDefault="00FC2B78">
      <w:pPr>
        <w:widowControl w:val="0"/>
        <w:pBdr>
          <w:top w:val="nil"/>
          <w:left w:val="nil"/>
          <w:bottom w:val="nil"/>
          <w:right w:val="nil"/>
          <w:between w:val="nil"/>
        </w:pBdr>
        <w:tabs>
          <w:tab w:val="left" w:pos="567"/>
        </w:tabs>
        <w:spacing w:after="0" w:line="360" w:lineRule="auto"/>
        <w:ind w:left="170" w:right="142"/>
        <w:jc w:val="both"/>
        <w:rPr>
          <w:rFonts w:ascii="Arial" w:eastAsia="Arial" w:hAnsi="Arial" w:cs="Arial"/>
          <w:color w:val="000000"/>
          <w:sz w:val="24"/>
          <w:szCs w:val="24"/>
        </w:rPr>
      </w:pPr>
    </w:p>
    <w:p w14:paraId="0B0D58FD" w14:textId="77777777" w:rsidR="00FC2B78" w:rsidRDefault="00494310">
      <w:pPr>
        <w:widowControl w:val="0"/>
        <w:numPr>
          <w:ilvl w:val="1"/>
          <w:numId w:val="8"/>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b/>
          <w:color w:val="000000"/>
          <w:sz w:val="24"/>
          <w:szCs w:val="24"/>
        </w:rPr>
        <w:t>Programa de vigilancia epidemiológica:</w:t>
      </w:r>
      <w:r>
        <w:rPr>
          <w:rFonts w:ascii="Arial" w:eastAsia="Arial" w:hAnsi="Arial" w:cs="Arial"/>
          <w:color w:val="000000"/>
          <w:sz w:val="24"/>
          <w:szCs w:val="24"/>
        </w:rPr>
        <w:t xml:space="preserve"> Información para la acción, sistema que se alimenta principalmente con el registro y análisis de la información de estadísticas de ausentismo, de primeros auxilios, morbilidad, </w:t>
      </w:r>
      <w:r>
        <w:rPr>
          <w:rFonts w:ascii="Arial" w:eastAsia="Arial" w:hAnsi="Arial" w:cs="Arial"/>
          <w:color w:val="000000"/>
          <w:sz w:val="24"/>
          <w:szCs w:val="24"/>
        </w:rPr>
        <w:lastRenderedPageBreak/>
        <w:t xml:space="preserve">diagnóstico epidemiológico de salud de los servidores de una entidad, factores de riesgo prioritarios y evaluaciones ambientales, entre otros, con el fin de planear acciones de prevención y control de las enfermedades laborales, comunes o agravadas por el trabajo o por accidentes. </w:t>
      </w:r>
    </w:p>
    <w:p w14:paraId="1A1B9803"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2FA3641D" w14:textId="77777777" w:rsidR="00FC2B78" w:rsidRDefault="00494310">
      <w:pPr>
        <w:widowControl w:val="0"/>
        <w:numPr>
          <w:ilvl w:val="0"/>
          <w:numId w:val="8"/>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 xml:space="preserve">RESPONSABLE </w:t>
      </w:r>
    </w:p>
    <w:p w14:paraId="2A4468C7"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1D7475A2" w14:textId="77777777" w:rsidR="00FC2B78" w:rsidRPr="00D30DD2" w:rsidRDefault="00494310">
      <w:pPr>
        <w:widowControl w:val="0"/>
        <w:numPr>
          <w:ilvl w:val="1"/>
          <w:numId w:val="4"/>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themeColor="text1"/>
          <w:sz w:val="24"/>
          <w:szCs w:val="24"/>
        </w:rPr>
      </w:pPr>
      <w:r w:rsidRPr="00D30DD2">
        <w:rPr>
          <w:rFonts w:ascii="Arial" w:eastAsia="Arial" w:hAnsi="Arial" w:cs="Arial"/>
          <w:b/>
          <w:color w:val="000000" w:themeColor="text1"/>
          <w:sz w:val="24"/>
          <w:szCs w:val="24"/>
        </w:rPr>
        <w:t>Administrador</w:t>
      </w:r>
    </w:p>
    <w:p w14:paraId="17D18B71"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5CDF1B62" w14:textId="77777777" w:rsidR="00FC2B78" w:rsidRDefault="00494310">
      <w:pPr>
        <w:widowControl w:val="0"/>
        <w:numPr>
          <w:ilvl w:val="0"/>
          <w:numId w:val="2"/>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Asignar los recursos humanos, técnicos y financieros para el cumplimiento de este programa.</w:t>
      </w:r>
    </w:p>
    <w:p w14:paraId="762A5451" w14:textId="77777777" w:rsidR="00FC2B78" w:rsidRDefault="00494310">
      <w:pPr>
        <w:widowControl w:val="0"/>
        <w:numPr>
          <w:ilvl w:val="0"/>
          <w:numId w:val="2"/>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Evaluar anualmente el sistema y sugerir los ajustes necesarios.</w:t>
      </w:r>
    </w:p>
    <w:p w14:paraId="50F19FD6" w14:textId="77777777" w:rsidR="00FC2B78" w:rsidRDefault="00494310">
      <w:pPr>
        <w:widowControl w:val="0"/>
        <w:numPr>
          <w:ilvl w:val="0"/>
          <w:numId w:val="2"/>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Proporcionar el tiempo necesario y las condiciones idóneas para que se realicen las evaluaciones de puestos de trabajo en forma adecuada.</w:t>
      </w:r>
    </w:p>
    <w:p w14:paraId="608DAAAF"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p>
    <w:p w14:paraId="35D9E287" w14:textId="4293CD5F" w:rsidR="00FC2B78" w:rsidRDefault="005378BA">
      <w:pPr>
        <w:widowControl w:val="0"/>
        <w:numPr>
          <w:ilvl w:val="1"/>
          <w:numId w:val="4"/>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proofErr w:type="gramStart"/>
      <w:r>
        <w:rPr>
          <w:rFonts w:ascii="Arial" w:eastAsia="Arial" w:hAnsi="Arial" w:cs="Arial"/>
          <w:b/>
          <w:color w:val="000000"/>
          <w:sz w:val="24"/>
          <w:szCs w:val="24"/>
        </w:rPr>
        <w:t xml:space="preserve">Profesional </w:t>
      </w:r>
      <w:r w:rsidR="00494310">
        <w:rPr>
          <w:rFonts w:ascii="Arial" w:eastAsia="Arial" w:hAnsi="Arial" w:cs="Arial"/>
          <w:b/>
          <w:color w:val="000000"/>
          <w:sz w:val="24"/>
          <w:szCs w:val="24"/>
        </w:rPr>
        <w:t xml:space="preserve"> De</w:t>
      </w:r>
      <w:proofErr w:type="gramEnd"/>
      <w:r w:rsidR="00494310">
        <w:rPr>
          <w:rFonts w:ascii="Arial" w:eastAsia="Arial" w:hAnsi="Arial" w:cs="Arial"/>
          <w:b/>
          <w:color w:val="000000"/>
          <w:sz w:val="24"/>
          <w:szCs w:val="24"/>
        </w:rPr>
        <w:t xml:space="preserve"> La Seguridad Y Salud En El Trabajo</w:t>
      </w:r>
    </w:p>
    <w:p w14:paraId="02D41E8D"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1EA4C1F8" w14:textId="77777777" w:rsidR="00FC2B78" w:rsidRDefault="00494310">
      <w:pPr>
        <w:widowControl w:val="0"/>
        <w:numPr>
          <w:ilvl w:val="0"/>
          <w:numId w:val="3"/>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Identificar los peligros y riesgos en los diferentes puestos de trabajos, y establecer las medidas de control necesarias.</w:t>
      </w:r>
    </w:p>
    <w:p w14:paraId="31B20A28" w14:textId="77777777" w:rsidR="00FC2B78" w:rsidRDefault="00494310">
      <w:pPr>
        <w:widowControl w:val="0"/>
        <w:numPr>
          <w:ilvl w:val="0"/>
          <w:numId w:val="3"/>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Coordinar, ejecutar y actualizar el Sistema de Vigilancia Epidemiológica para la Conservación Visual.                                                                                                                       </w:t>
      </w:r>
    </w:p>
    <w:p w14:paraId="163C80D1" w14:textId="77777777" w:rsidR="00FC2B78" w:rsidRDefault="00494310">
      <w:pPr>
        <w:widowControl w:val="0"/>
        <w:numPr>
          <w:ilvl w:val="0"/>
          <w:numId w:val="3"/>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lastRenderedPageBreak/>
        <w:t>Programar las actividades necesarias a todo el personal, frente a los riesgos que se encuentra expuestos.</w:t>
      </w:r>
    </w:p>
    <w:p w14:paraId="2A269510" w14:textId="77777777" w:rsidR="00FC2B78" w:rsidRDefault="00494310">
      <w:pPr>
        <w:widowControl w:val="0"/>
        <w:numPr>
          <w:ilvl w:val="0"/>
          <w:numId w:val="3"/>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Retroalimentar a los trabajadores de los resultados del programa, evaluaciones de puestos de trabajo, medidas correctivas, a través de las actividades de capacitación, por medio de metodologías que faciliten la participación activa de los mismos.</w:t>
      </w:r>
    </w:p>
    <w:p w14:paraId="25315710"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70E5C8E4" w14:textId="77777777" w:rsidR="00FC2B78" w:rsidRDefault="00494310">
      <w:pPr>
        <w:widowControl w:val="0"/>
        <w:numPr>
          <w:ilvl w:val="1"/>
          <w:numId w:val="4"/>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Trabajador</w:t>
      </w:r>
    </w:p>
    <w:p w14:paraId="3A58C8FE"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7B237CFB" w14:textId="77777777" w:rsidR="00FC2B78" w:rsidRDefault="00494310">
      <w:pPr>
        <w:widowControl w:val="0"/>
        <w:numPr>
          <w:ilvl w:val="0"/>
          <w:numId w:val="5"/>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Informar sobre necesidades de mantenimiento de los equipos, máquinas, herramientas y puestos de trabajo.</w:t>
      </w:r>
    </w:p>
    <w:p w14:paraId="1B7E98AE" w14:textId="77777777" w:rsidR="00FC2B78" w:rsidRDefault="00494310">
      <w:pPr>
        <w:widowControl w:val="0"/>
        <w:numPr>
          <w:ilvl w:val="0"/>
          <w:numId w:val="5"/>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Proporcionar ideas sobre las posibles medidas de control, al jefe Inmediato o Encargado de la Seguridad y Salud en el Trabajo.</w:t>
      </w:r>
    </w:p>
    <w:p w14:paraId="62B40979" w14:textId="77777777" w:rsidR="00FC2B78" w:rsidRDefault="00494310">
      <w:pPr>
        <w:widowControl w:val="0"/>
        <w:numPr>
          <w:ilvl w:val="0"/>
          <w:numId w:val="5"/>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Participar de forma activa en la implementación y ejecución del programa, así como seguir las recomendaciones y practicar el autocuidado.</w:t>
      </w:r>
    </w:p>
    <w:p w14:paraId="2FDC64FD" w14:textId="77777777" w:rsidR="00FC2B78" w:rsidRDefault="00494310">
      <w:pPr>
        <w:widowControl w:val="0"/>
        <w:numPr>
          <w:ilvl w:val="0"/>
          <w:numId w:val="5"/>
        </w:numPr>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Tomar una actitud proactiva que les permita mejorar las actividades de capacitación, hacer sugerencias sobre la misma y participar con preguntas y comentarios.</w:t>
      </w:r>
    </w:p>
    <w:p w14:paraId="351B0551"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68A7D23C" w14:textId="77777777" w:rsidR="00FC2B78" w:rsidRDefault="00494310">
      <w:pPr>
        <w:widowControl w:val="0"/>
        <w:numPr>
          <w:ilvl w:val="0"/>
          <w:numId w:val="4"/>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DOCUMENTOS RELACIONADOS</w:t>
      </w:r>
    </w:p>
    <w:p w14:paraId="09393186"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722DA078" w14:textId="77777777"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lastRenderedPageBreak/>
        <w:t>No Aplica</w:t>
      </w:r>
    </w:p>
    <w:p w14:paraId="5B71FDAC"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3F1DA6D8"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6F9693DE" w14:textId="77777777" w:rsidR="00FC2B78" w:rsidRDefault="00494310">
      <w:pPr>
        <w:widowControl w:val="0"/>
        <w:numPr>
          <w:ilvl w:val="0"/>
          <w:numId w:val="4"/>
        </w:numPr>
        <w:pBdr>
          <w:top w:val="nil"/>
          <w:left w:val="nil"/>
          <w:bottom w:val="nil"/>
          <w:right w:val="nil"/>
          <w:between w:val="nil"/>
        </w:pBdr>
        <w:tabs>
          <w:tab w:val="left" w:pos="567"/>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DESCRIPCIÓN</w:t>
      </w:r>
    </w:p>
    <w:p w14:paraId="7EB39EF6"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4BE63230" w14:textId="77777777"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El sentido de la vista está asegurado por un órgano receptor, el ojo; una membrana, la retina, recibe todas las impresiones luminosas y las </w:t>
      </w:r>
      <w:r>
        <w:rPr>
          <w:rFonts w:ascii="Arial" w:eastAsia="Arial" w:hAnsi="Arial" w:cs="Arial"/>
          <w:sz w:val="24"/>
          <w:szCs w:val="24"/>
        </w:rPr>
        <w:t>transmite</w:t>
      </w:r>
      <w:r>
        <w:rPr>
          <w:rFonts w:ascii="Arial" w:eastAsia="Arial" w:hAnsi="Arial" w:cs="Arial"/>
          <w:color w:val="000000"/>
          <w:sz w:val="24"/>
          <w:szCs w:val="24"/>
        </w:rPr>
        <w:t xml:space="preserve"> al cerebro por las vías ópticas. El ojo es un órgano par situado en la cavidad orbitaria. Está protegido por los párpados y la secreción de la glándula lacrimal. Es movilizado por un grupo de músculos extrínsecos comandados por los nervios motores del ojo.</w:t>
      </w:r>
    </w:p>
    <w:p w14:paraId="592027CA"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41A34DBE" w14:textId="77777777"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La detección temprana de la alteración visual permite promover la salud visual, prevenir enfermedades oculares y reducir la ceguera prevenible o curable. Los factores de riesgo que en el ámbito laboral perpetúan y magnifican la alteración, así como otros factores que pueden lesionar el globo ocular, durante el desarrollo de tareas que involucren sustancias químicas y elementos corto punzantes.</w:t>
      </w:r>
    </w:p>
    <w:p w14:paraId="30EA584D" w14:textId="77777777" w:rsidR="00FC2B78" w:rsidRDefault="00FC2B78">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p>
    <w:p w14:paraId="294A597E" w14:textId="77777777" w:rsidR="00FC2B78" w:rsidRDefault="00494310">
      <w:pPr>
        <w:widowControl w:val="0"/>
        <w:pBdr>
          <w:top w:val="nil"/>
          <w:left w:val="nil"/>
          <w:bottom w:val="nil"/>
          <w:right w:val="nil"/>
          <w:between w:val="nil"/>
        </w:pBdr>
        <w:tabs>
          <w:tab w:val="left" w:pos="567"/>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El riesgo para cada exposición depende de varios factores, tales como:</w:t>
      </w:r>
    </w:p>
    <w:p w14:paraId="2457F03F" w14:textId="77777777" w:rsidR="00FC2B78" w:rsidRDefault="00FC2B78">
      <w:pPr>
        <w:widowControl w:val="0"/>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p>
    <w:p w14:paraId="5CA86093" w14:textId="77777777" w:rsidR="00FC2B78" w:rsidRDefault="00494310">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r>
        <w:rPr>
          <w:rFonts w:ascii="Arial" w:eastAsia="Arial" w:hAnsi="Arial" w:cs="Arial"/>
          <w:b/>
          <w:color w:val="000000"/>
          <w:sz w:val="24"/>
          <w:szCs w:val="24"/>
        </w:rPr>
        <w:t>Factores organizacionales:</w:t>
      </w:r>
      <w:r>
        <w:rPr>
          <w:rFonts w:ascii="Arial" w:eastAsia="Arial" w:hAnsi="Arial" w:cs="Arial"/>
          <w:color w:val="000000"/>
          <w:sz w:val="24"/>
          <w:szCs w:val="24"/>
        </w:rPr>
        <w:t xml:space="preserve"> jornadas, horarios, pausas, uso de elementos de protección personal.</w:t>
      </w:r>
    </w:p>
    <w:p w14:paraId="428DD061" w14:textId="77777777" w:rsidR="00FC2B78" w:rsidRDefault="00494310">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r>
        <w:rPr>
          <w:rFonts w:ascii="Arial" w:eastAsia="Arial" w:hAnsi="Arial" w:cs="Arial"/>
          <w:b/>
          <w:color w:val="000000"/>
          <w:sz w:val="24"/>
          <w:szCs w:val="24"/>
        </w:rPr>
        <w:t>Factores personales:</w:t>
      </w:r>
      <w:r>
        <w:rPr>
          <w:rFonts w:ascii="Arial" w:eastAsia="Arial" w:hAnsi="Arial" w:cs="Arial"/>
          <w:color w:val="000000"/>
          <w:sz w:val="24"/>
          <w:szCs w:val="24"/>
        </w:rPr>
        <w:t xml:space="preserve"> edad, capacidad funcional del trabajador, hábitos, </w:t>
      </w:r>
      <w:r>
        <w:rPr>
          <w:rFonts w:ascii="Arial" w:eastAsia="Arial" w:hAnsi="Arial" w:cs="Arial"/>
          <w:color w:val="000000"/>
          <w:sz w:val="24"/>
          <w:szCs w:val="24"/>
        </w:rPr>
        <w:lastRenderedPageBreak/>
        <w:t>antecedentes.</w:t>
      </w:r>
    </w:p>
    <w:p w14:paraId="557FDF12" w14:textId="77777777" w:rsidR="00FC2B78" w:rsidRDefault="00494310">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r>
        <w:rPr>
          <w:rFonts w:ascii="Arial" w:eastAsia="Arial" w:hAnsi="Arial" w:cs="Arial"/>
          <w:b/>
          <w:color w:val="000000"/>
          <w:sz w:val="24"/>
          <w:szCs w:val="24"/>
        </w:rPr>
        <w:t>Factores ambientales:</w:t>
      </w:r>
      <w:r>
        <w:rPr>
          <w:rFonts w:ascii="Arial" w:eastAsia="Arial" w:hAnsi="Arial" w:cs="Arial"/>
          <w:color w:val="000000"/>
          <w:sz w:val="24"/>
          <w:szCs w:val="24"/>
        </w:rPr>
        <w:t xml:space="preserve"> equipos, iluminación, químicos.</w:t>
      </w:r>
    </w:p>
    <w:p w14:paraId="259D9A78" w14:textId="77777777" w:rsidR="00FC2B78" w:rsidRDefault="00FC2B78">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4D9DA3C4" w14:textId="77777777" w:rsidR="005378BA" w:rsidRDefault="005378BA">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3033026C" w14:textId="77777777" w:rsidR="005378BA" w:rsidRDefault="005378BA">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42C33E36" w14:textId="77777777" w:rsidR="005378BA" w:rsidRDefault="005378BA">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60B1083E" w14:textId="77777777" w:rsidR="005378BA" w:rsidRDefault="005378BA">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2A3BBAC6" w14:textId="77777777" w:rsidR="00FC2B78" w:rsidRDefault="00FC2B78">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5078F4DA" w14:textId="77777777" w:rsidR="00FC2B78" w:rsidRDefault="00FC2B78">
      <w:pPr>
        <w:widowControl w:val="0"/>
        <w:pBdr>
          <w:top w:val="nil"/>
          <w:left w:val="nil"/>
          <w:bottom w:val="nil"/>
          <w:right w:val="nil"/>
          <w:between w:val="nil"/>
        </w:pBdr>
        <w:tabs>
          <w:tab w:val="left" w:pos="284"/>
        </w:tabs>
        <w:spacing w:after="0" w:line="360" w:lineRule="auto"/>
        <w:ind w:right="142"/>
        <w:jc w:val="both"/>
        <w:rPr>
          <w:rFonts w:ascii="Arial" w:eastAsia="Arial" w:hAnsi="Arial" w:cs="Arial"/>
          <w:color w:val="000000"/>
          <w:sz w:val="24"/>
          <w:szCs w:val="24"/>
        </w:rPr>
      </w:pPr>
    </w:p>
    <w:p w14:paraId="4B562E81" w14:textId="77777777" w:rsidR="00FC2B78" w:rsidRDefault="00494310">
      <w:pPr>
        <w:widowControl w:val="0"/>
        <w:numPr>
          <w:ilvl w:val="1"/>
          <w:numId w:val="6"/>
        </w:numPr>
        <w:pBdr>
          <w:top w:val="nil"/>
          <w:left w:val="nil"/>
          <w:bottom w:val="nil"/>
          <w:right w:val="nil"/>
          <w:between w:val="nil"/>
        </w:pBdr>
        <w:tabs>
          <w:tab w:val="left" w:pos="284"/>
        </w:tabs>
        <w:spacing w:after="0" w:line="360" w:lineRule="auto"/>
        <w:ind w:left="720" w:right="142"/>
        <w:jc w:val="both"/>
        <w:rPr>
          <w:rFonts w:ascii="Arial" w:eastAsia="Arial" w:hAnsi="Arial" w:cs="Arial"/>
          <w:b/>
          <w:color w:val="000000"/>
        </w:rPr>
      </w:pPr>
      <w:r>
        <w:rPr>
          <w:rFonts w:ascii="Arial" w:eastAsia="Arial" w:hAnsi="Arial" w:cs="Arial"/>
          <w:b/>
          <w:color w:val="000000"/>
        </w:rPr>
        <w:t>Niveles De Iluminación</w:t>
      </w:r>
    </w:p>
    <w:p w14:paraId="4442E680" w14:textId="77777777" w:rsidR="00FC2B78" w:rsidRDefault="00FC2B78">
      <w:pPr>
        <w:widowControl w:val="0"/>
        <w:pBdr>
          <w:top w:val="nil"/>
          <w:left w:val="nil"/>
          <w:bottom w:val="nil"/>
          <w:right w:val="nil"/>
          <w:between w:val="nil"/>
        </w:pBdr>
        <w:tabs>
          <w:tab w:val="left" w:pos="284"/>
        </w:tabs>
        <w:spacing w:after="0" w:line="360" w:lineRule="auto"/>
        <w:ind w:left="567" w:right="142"/>
        <w:jc w:val="both"/>
        <w:rPr>
          <w:rFonts w:ascii="Arial" w:eastAsia="Arial" w:hAnsi="Arial" w:cs="Arial"/>
          <w:b/>
          <w:color w:val="000000"/>
        </w:rPr>
      </w:pPr>
    </w:p>
    <w:tbl>
      <w:tblPr>
        <w:tblStyle w:val="a4"/>
        <w:tblW w:w="852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4"/>
        <w:gridCol w:w="3276"/>
      </w:tblGrid>
      <w:tr w:rsidR="00FC2B78" w14:paraId="2DABD7FC" w14:textId="77777777">
        <w:trPr>
          <w:trHeight w:val="340"/>
        </w:trPr>
        <w:tc>
          <w:tcPr>
            <w:tcW w:w="5244" w:type="dxa"/>
            <w:vAlign w:val="center"/>
          </w:tcPr>
          <w:p w14:paraId="55919BF5" w14:textId="77777777" w:rsidR="00FC2B78" w:rsidRDefault="00494310">
            <w:pPr>
              <w:widowControl w:val="0"/>
              <w:pBdr>
                <w:top w:val="nil"/>
                <w:left w:val="nil"/>
                <w:bottom w:val="nil"/>
                <w:right w:val="nil"/>
                <w:between w:val="nil"/>
              </w:pBdr>
              <w:tabs>
                <w:tab w:val="left" w:pos="284"/>
              </w:tabs>
              <w:spacing w:line="360" w:lineRule="auto"/>
              <w:ind w:right="142"/>
              <w:jc w:val="center"/>
              <w:rPr>
                <w:rFonts w:ascii="Arial" w:eastAsia="Arial" w:hAnsi="Arial" w:cs="Arial"/>
                <w:b/>
                <w:color w:val="000000"/>
              </w:rPr>
            </w:pPr>
            <w:r>
              <w:rPr>
                <w:rFonts w:ascii="Arial" w:eastAsia="Arial" w:hAnsi="Arial" w:cs="Arial"/>
                <w:b/>
                <w:color w:val="000000"/>
              </w:rPr>
              <w:t>TIPO DE TRABAJO</w:t>
            </w:r>
          </w:p>
        </w:tc>
        <w:tc>
          <w:tcPr>
            <w:tcW w:w="3276" w:type="dxa"/>
            <w:vAlign w:val="center"/>
          </w:tcPr>
          <w:p w14:paraId="4E18EF94" w14:textId="77777777" w:rsidR="00FC2B78" w:rsidRDefault="00494310">
            <w:pPr>
              <w:widowControl w:val="0"/>
              <w:pBdr>
                <w:top w:val="nil"/>
                <w:left w:val="nil"/>
                <w:bottom w:val="nil"/>
                <w:right w:val="nil"/>
                <w:between w:val="nil"/>
              </w:pBdr>
              <w:tabs>
                <w:tab w:val="left" w:pos="284"/>
              </w:tabs>
              <w:spacing w:line="360" w:lineRule="auto"/>
              <w:ind w:right="142"/>
              <w:jc w:val="center"/>
              <w:rPr>
                <w:rFonts w:ascii="Arial" w:eastAsia="Arial" w:hAnsi="Arial" w:cs="Arial"/>
                <w:b/>
                <w:color w:val="000000"/>
              </w:rPr>
            </w:pPr>
            <w:r>
              <w:rPr>
                <w:rFonts w:ascii="Arial" w:eastAsia="Arial" w:hAnsi="Arial" w:cs="Arial"/>
                <w:b/>
                <w:color w:val="000000"/>
              </w:rPr>
              <w:t>LUX</w:t>
            </w:r>
          </w:p>
        </w:tc>
      </w:tr>
      <w:tr w:rsidR="00FC2B78" w14:paraId="7BA3A187" w14:textId="77777777">
        <w:trPr>
          <w:trHeight w:val="910"/>
        </w:trPr>
        <w:tc>
          <w:tcPr>
            <w:tcW w:w="5244" w:type="dxa"/>
            <w:vAlign w:val="center"/>
          </w:tcPr>
          <w:p w14:paraId="3489A282"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Para trabajos que necesiten diferenciación de detalles extremadamente finos, con muy poco contraste y durante largos periodos de tiempo.</w:t>
            </w:r>
          </w:p>
        </w:tc>
        <w:tc>
          <w:tcPr>
            <w:tcW w:w="3276" w:type="dxa"/>
            <w:vAlign w:val="center"/>
          </w:tcPr>
          <w:p w14:paraId="1F2C2567"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1.000 a 1.000 Lux</w:t>
            </w:r>
          </w:p>
        </w:tc>
      </w:tr>
      <w:tr w:rsidR="00FC2B78" w14:paraId="05EA0BFB" w14:textId="77777777">
        <w:trPr>
          <w:trHeight w:val="913"/>
        </w:trPr>
        <w:tc>
          <w:tcPr>
            <w:tcW w:w="5244" w:type="dxa"/>
            <w:vAlign w:val="center"/>
          </w:tcPr>
          <w:p w14:paraId="4F78B253"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Para diferenciación de detalles finos, con un grado regular de contraste y largos periodos de tiempo.</w:t>
            </w:r>
          </w:p>
        </w:tc>
        <w:tc>
          <w:tcPr>
            <w:tcW w:w="3276" w:type="dxa"/>
            <w:vAlign w:val="center"/>
          </w:tcPr>
          <w:p w14:paraId="645E04C6"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500 a 1.000 Lux</w:t>
            </w:r>
          </w:p>
        </w:tc>
      </w:tr>
      <w:tr w:rsidR="00FC2B78" w14:paraId="79B025B8" w14:textId="77777777">
        <w:trPr>
          <w:trHeight w:val="623"/>
        </w:trPr>
        <w:tc>
          <w:tcPr>
            <w:tcW w:w="5244" w:type="dxa"/>
            <w:vAlign w:val="center"/>
          </w:tcPr>
          <w:p w14:paraId="7EDA4CCF"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Cuando se necesita diferenciación moderada de detalles la intensidad de iluminación será.</w:t>
            </w:r>
          </w:p>
        </w:tc>
        <w:tc>
          <w:tcPr>
            <w:tcW w:w="3276" w:type="dxa"/>
            <w:vAlign w:val="center"/>
          </w:tcPr>
          <w:p w14:paraId="17C19CFC"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300 a 500 Lux</w:t>
            </w:r>
          </w:p>
        </w:tc>
      </w:tr>
      <w:tr w:rsidR="00FC2B78" w14:paraId="6EADA1D5" w14:textId="77777777">
        <w:trPr>
          <w:trHeight w:val="700"/>
        </w:trPr>
        <w:tc>
          <w:tcPr>
            <w:tcW w:w="5244" w:type="dxa"/>
            <w:vAlign w:val="center"/>
          </w:tcPr>
          <w:p w14:paraId="75A3EA31"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Para trabajos con poca diferenciación de detalles la iluminación será.</w:t>
            </w:r>
          </w:p>
        </w:tc>
        <w:tc>
          <w:tcPr>
            <w:tcW w:w="3276" w:type="dxa"/>
            <w:vAlign w:val="center"/>
          </w:tcPr>
          <w:p w14:paraId="2C5C5ECD"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150 a 250 Lux</w:t>
            </w:r>
          </w:p>
        </w:tc>
      </w:tr>
      <w:tr w:rsidR="00FC2B78" w14:paraId="04181814" w14:textId="77777777">
        <w:trPr>
          <w:trHeight w:val="851"/>
        </w:trPr>
        <w:tc>
          <w:tcPr>
            <w:tcW w:w="5244" w:type="dxa"/>
            <w:vAlign w:val="center"/>
          </w:tcPr>
          <w:p w14:paraId="16264D89"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 xml:space="preserve">En trabajos ocasionales que no requieren observación </w:t>
            </w:r>
            <w:r>
              <w:rPr>
                <w:rFonts w:ascii="Arial" w:eastAsia="Arial" w:hAnsi="Arial" w:cs="Arial"/>
              </w:rPr>
              <w:t>detallada</w:t>
            </w:r>
            <w:r>
              <w:rPr>
                <w:rFonts w:ascii="Arial" w:eastAsia="Arial" w:hAnsi="Arial" w:cs="Arial"/>
                <w:color w:val="000000"/>
              </w:rPr>
              <w:t xml:space="preserve"> la intensidad de iluminación será.</w:t>
            </w:r>
          </w:p>
        </w:tc>
        <w:tc>
          <w:tcPr>
            <w:tcW w:w="3276" w:type="dxa"/>
            <w:vAlign w:val="center"/>
          </w:tcPr>
          <w:p w14:paraId="56793CA3"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100 a 200 Lux</w:t>
            </w:r>
          </w:p>
        </w:tc>
      </w:tr>
      <w:tr w:rsidR="00FC2B78" w14:paraId="730B8875" w14:textId="77777777">
        <w:trPr>
          <w:trHeight w:val="835"/>
        </w:trPr>
        <w:tc>
          <w:tcPr>
            <w:tcW w:w="5244" w:type="dxa"/>
            <w:vAlign w:val="center"/>
          </w:tcPr>
          <w:p w14:paraId="2B606918"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lastRenderedPageBreak/>
              <w:t>Zonas de almacenamiento, pasillos para circulación de personal, etc. con intensidad de iluminación.</w:t>
            </w:r>
          </w:p>
        </w:tc>
        <w:tc>
          <w:tcPr>
            <w:tcW w:w="3276" w:type="dxa"/>
            <w:vAlign w:val="center"/>
          </w:tcPr>
          <w:p w14:paraId="2CAC8F8B"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200 lux</w:t>
            </w:r>
          </w:p>
        </w:tc>
      </w:tr>
      <w:tr w:rsidR="00FC2B78" w14:paraId="66624EB3" w14:textId="77777777">
        <w:trPr>
          <w:trHeight w:val="412"/>
        </w:trPr>
        <w:tc>
          <w:tcPr>
            <w:tcW w:w="5244" w:type="dxa"/>
            <w:vAlign w:val="center"/>
          </w:tcPr>
          <w:p w14:paraId="1C7EDCDA"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Trabajo regular de oficina, con intensidad.</w:t>
            </w:r>
          </w:p>
        </w:tc>
        <w:tc>
          <w:tcPr>
            <w:tcW w:w="3276" w:type="dxa"/>
            <w:vAlign w:val="center"/>
          </w:tcPr>
          <w:p w14:paraId="49EB63D9"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1.500 lux</w:t>
            </w:r>
          </w:p>
        </w:tc>
      </w:tr>
      <w:tr w:rsidR="00FC2B78" w14:paraId="2312251B" w14:textId="77777777">
        <w:trPr>
          <w:trHeight w:val="418"/>
        </w:trPr>
        <w:tc>
          <w:tcPr>
            <w:tcW w:w="5244" w:type="dxa"/>
            <w:vAlign w:val="center"/>
          </w:tcPr>
          <w:p w14:paraId="6472252E" w14:textId="77777777" w:rsidR="00FC2B78" w:rsidRDefault="00494310">
            <w:pPr>
              <w:widowControl w:val="0"/>
              <w:pBdr>
                <w:top w:val="nil"/>
                <w:left w:val="nil"/>
                <w:bottom w:val="nil"/>
                <w:right w:val="nil"/>
                <w:between w:val="nil"/>
              </w:pBdr>
              <w:tabs>
                <w:tab w:val="left" w:pos="284"/>
              </w:tabs>
              <w:spacing w:line="360" w:lineRule="auto"/>
              <w:ind w:right="142"/>
              <w:jc w:val="both"/>
              <w:rPr>
                <w:rFonts w:ascii="Arial" w:eastAsia="Arial" w:hAnsi="Arial" w:cs="Arial"/>
                <w:color w:val="000000"/>
              </w:rPr>
            </w:pPr>
            <w:r>
              <w:rPr>
                <w:rFonts w:ascii="Arial" w:eastAsia="Arial" w:hAnsi="Arial" w:cs="Arial"/>
                <w:color w:val="000000"/>
              </w:rPr>
              <w:t>Sanitarios, con intensidad de iluminación.</w:t>
            </w:r>
          </w:p>
        </w:tc>
        <w:tc>
          <w:tcPr>
            <w:tcW w:w="3276" w:type="dxa"/>
            <w:vAlign w:val="center"/>
          </w:tcPr>
          <w:p w14:paraId="0A095518" w14:textId="77777777" w:rsidR="00FC2B78" w:rsidRDefault="00494310">
            <w:pPr>
              <w:widowControl w:val="0"/>
              <w:pBdr>
                <w:top w:val="nil"/>
                <w:left w:val="nil"/>
                <w:bottom w:val="nil"/>
                <w:right w:val="nil"/>
                <w:between w:val="nil"/>
              </w:pBdr>
              <w:tabs>
                <w:tab w:val="left" w:pos="284"/>
              </w:tabs>
              <w:spacing w:line="360" w:lineRule="auto"/>
              <w:ind w:left="360" w:right="142"/>
              <w:jc w:val="center"/>
              <w:rPr>
                <w:rFonts w:ascii="Arial" w:eastAsia="Arial" w:hAnsi="Arial" w:cs="Arial"/>
                <w:color w:val="000000"/>
              </w:rPr>
            </w:pPr>
            <w:r>
              <w:rPr>
                <w:rFonts w:ascii="Arial" w:eastAsia="Arial" w:hAnsi="Arial" w:cs="Arial"/>
                <w:color w:val="000000"/>
              </w:rPr>
              <w:t>300 lux</w:t>
            </w:r>
          </w:p>
        </w:tc>
      </w:tr>
    </w:tbl>
    <w:p w14:paraId="0A2636CF" w14:textId="77777777" w:rsidR="00FC2B78" w:rsidRDefault="00FC2B78">
      <w:pPr>
        <w:widowControl w:val="0"/>
        <w:pBdr>
          <w:top w:val="nil"/>
          <w:left w:val="nil"/>
          <w:bottom w:val="nil"/>
          <w:right w:val="nil"/>
          <w:between w:val="nil"/>
        </w:pBdr>
        <w:tabs>
          <w:tab w:val="left" w:pos="426"/>
        </w:tabs>
        <w:spacing w:after="0" w:line="360" w:lineRule="auto"/>
        <w:ind w:left="426" w:right="142"/>
        <w:jc w:val="both"/>
        <w:rPr>
          <w:rFonts w:ascii="Arial" w:eastAsia="Arial" w:hAnsi="Arial" w:cs="Arial"/>
          <w:b/>
          <w:color w:val="000000"/>
        </w:rPr>
      </w:pPr>
    </w:p>
    <w:p w14:paraId="771146F0" w14:textId="77777777" w:rsidR="00FC2B78" w:rsidRDefault="00494310">
      <w:pPr>
        <w:widowControl w:val="0"/>
        <w:pBdr>
          <w:top w:val="nil"/>
          <w:left w:val="nil"/>
          <w:bottom w:val="nil"/>
          <w:right w:val="nil"/>
          <w:between w:val="nil"/>
        </w:pBdr>
        <w:tabs>
          <w:tab w:val="left" w:pos="426"/>
        </w:tabs>
        <w:spacing w:after="0" w:line="360" w:lineRule="auto"/>
        <w:ind w:left="426" w:right="142"/>
        <w:jc w:val="both"/>
        <w:rPr>
          <w:rFonts w:ascii="Arial" w:eastAsia="Arial" w:hAnsi="Arial" w:cs="Arial"/>
          <w:b/>
          <w:color w:val="000000"/>
        </w:rPr>
      </w:pPr>
      <w:r>
        <w:rPr>
          <w:rFonts w:ascii="Arial" w:eastAsia="Arial" w:hAnsi="Arial" w:cs="Arial"/>
          <w:b/>
          <w:color w:val="000000"/>
        </w:rPr>
        <w:t>Fuente: Resolución 2400 de 1979.</w:t>
      </w:r>
    </w:p>
    <w:p w14:paraId="6CDB57AD" w14:textId="77777777" w:rsidR="00FC2B78" w:rsidRDefault="00494310">
      <w:pPr>
        <w:widowControl w:val="0"/>
        <w:numPr>
          <w:ilvl w:val="1"/>
          <w:numId w:val="9"/>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Enfermedades Más Comunes</w:t>
      </w:r>
    </w:p>
    <w:p w14:paraId="35BF76AB" w14:textId="77777777" w:rsidR="00FC2B78" w:rsidRDefault="00FC2B78">
      <w:pPr>
        <w:pStyle w:val="Ttulo1"/>
        <w:tabs>
          <w:tab w:val="left" w:pos="1562"/>
        </w:tabs>
        <w:spacing w:line="360" w:lineRule="auto"/>
        <w:ind w:right="142" w:firstLine="0"/>
        <w:rPr>
          <w:sz w:val="24"/>
          <w:szCs w:val="24"/>
        </w:rPr>
      </w:pPr>
    </w:p>
    <w:p w14:paraId="0D384A7A"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Miopía</w:t>
      </w:r>
    </w:p>
    <w:p w14:paraId="438DE151"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3509C6B4"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miopía es un defecto de refracción del ojo en el cual los rayos de luz paralelos convergen en un punto focal situado delante de la retina, en lugar de converger en la misma retina; es el defecto inverso a la hipermetropía, en la que los rayos de luz llegan a la retina antes de converger.</w:t>
      </w:r>
    </w:p>
    <w:p w14:paraId="5318BEE8" w14:textId="77777777" w:rsidR="00FC2B78" w:rsidRDefault="00FC2B7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7760AA1D"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Puede definirse también como un exceso de potencia de refracción de los medios transparentes del ojo con respecto a su longitud, por lo que los rayos luminosos procedentes de objetos situados a cierta distancia del ojo convergen hacia un punto anterior a la retina. Una persona con miopía tiene dificultades para enfocar bien los objetos lejanos, lo que provoca déficit de agudeza visual y puede conducir también a dolores de cabeza, </w:t>
      </w:r>
      <w:hyperlink r:id="rId8">
        <w:r>
          <w:rPr>
            <w:rFonts w:ascii="Arial" w:eastAsia="Arial" w:hAnsi="Arial" w:cs="Arial"/>
            <w:color w:val="000000"/>
            <w:sz w:val="24"/>
            <w:szCs w:val="24"/>
          </w:rPr>
          <w:t>estrabismo,</w:t>
        </w:r>
      </w:hyperlink>
      <w:r>
        <w:rPr>
          <w:rFonts w:ascii="Arial" w:eastAsia="Arial" w:hAnsi="Arial" w:cs="Arial"/>
          <w:color w:val="000000"/>
          <w:sz w:val="24"/>
          <w:szCs w:val="24"/>
        </w:rPr>
        <w:t xml:space="preserve"> incomodidad visual e irritación del ojo.</w:t>
      </w:r>
    </w:p>
    <w:p w14:paraId="526B0096" w14:textId="77777777" w:rsidR="00FC2B78" w:rsidRDefault="00FC2B78">
      <w:pPr>
        <w:spacing w:after="0" w:line="360" w:lineRule="auto"/>
        <w:jc w:val="both"/>
        <w:rPr>
          <w:rFonts w:ascii="Arial" w:eastAsia="Arial" w:hAnsi="Arial" w:cs="Arial"/>
          <w:sz w:val="24"/>
          <w:szCs w:val="24"/>
        </w:rPr>
      </w:pPr>
    </w:p>
    <w:p w14:paraId="6E02639D"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Astigmatismo</w:t>
      </w:r>
    </w:p>
    <w:p w14:paraId="6CB4782A" w14:textId="77777777" w:rsidR="00FC2B78" w:rsidRDefault="00FC2B78">
      <w:pPr>
        <w:spacing w:after="0" w:line="360" w:lineRule="auto"/>
        <w:jc w:val="both"/>
        <w:rPr>
          <w:rFonts w:ascii="Arial" w:eastAsia="Arial" w:hAnsi="Arial" w:cs="Arial"/>
          <w:sz w:val="24"/>
          <w:szCs w:val="24"/>
        </w:rPr>
      </w:pPr>
    </w:p>
    <w:p w14:paraId="6272E675" w14:textId="77777777" w:rsidR="00FC2B78" w:rsidRDefault="00494310">
      <w:pPr>
        <w:spacing w:after="0" w:line="360" w:lineRule="auto"/>
        <w:jc w:val="both"/>
        <w:rPr>
          <w:rFonts w:ascii="Arial" w:eastAsia="Arial" w:hAnsi="Arial" w:cs="Arial"/>
          <w:sz w:val="24"/>
          <w:szCs w:val="24"/>
        </w:rPr>
      </w:pPr>
      <w:r>
        <w:rPr>
          <w:rFonts w:ascii="Arial" w:eastAsia="Arial" w:hAnsi="Arial" w:cs="Arial"/>
          <w:sz w:val="24"/>
          <w:szCs w:val="24"/>
        </w:rPr>
        <w:t xml:space="preserve">Es un defecto ocular que se caracteriza porque existe una refracción diferente entre dos meridianos oculares, lo que impide el enfoque claro de los objetos, y generalmente se debe a una alteración en la curvatura anterior de la córnea. La córnea es la región transparente que se encuentra en el polo anterior del </w:t>
      </w:r>
      <w:hyperlink r:id="rId9">
        <w:r>
          <w:rPr>
            <w:rFonts w:ascii="Arial" w:eastAsia="Arial" w:hAnsi="Arial" w:cs="Arial"/>
            <w:color w:val="000000"/>
            <w:sz w:val="24"/>
            <w:szCs w:val="24"/>
          </w:rPr>
          <w:t>ojo</w:t>
        </w:r>
      </w:hyperlink>
      <w:r>
        <w:rPr>
          <w:rFonts w:ascii="Arial" w:eastAsia="Arial" w:hAnsi="Arial" w:cs="Arial"/>
          <w:sz w:val="24"/>
          <w:szCs w:val="24"/>
        </w:rPr>
        <w:t xml:space="preserve"> y actúa como una lente a través de la cual pasa la luz que se enfoca sobre la </w:t>
      </w:r>
      <w:hyperlink r:id="rId10">
        <w:r>
          <w:rPr>
            <w:rFonts w:ascii="Arial" w:eastAsia="Arial" w:hAnsi="Arial" w:cs="Arial"/>
            <w:color w:val="000000"/>
            <w:sz w:val="24"/>
            <w:szCs w:val="24"/>
          </w:rPr>
          <w:t>retina</w:t>
        </w:r>
      </w:hyperlink>
      <w:r>
        <w:rPr>
          <w:rFonts w:ascii="Arial" w:eastAsia="Arial" w:hAnsi="Arial" w:cs="Arial"/>
          <w:sz w:val="24"/>
          <w:szCs w:val="24"/>
        </w:rPr>
        <w:t xml:space="preserve"> en la parte posterior del ojo. La superficie de la córnea debe ser simétrica y regular en sus curvaturas, de no ser así se produce el astigmatismo.</w:t>
      </w:r>
    </w:p>
    <w:p w14:paraId="6CFFF270" w14:textId="77777777" w:rsidR="00FC2B78" w:rsidRDefault="00FC2B78">
      <w:pPr>
        <w:spacing w:after="0" w:line="360" w:lineRule="auto"/>
        <w:jc w:val="both"/>
        <w:rPr>
          <w:rFonts w:ascii="Arial" w:eastAsia="Arial" w:hAnsi="Arial" w:cs="Arial"/>
          <w:sz w:val="24"/>
          <w:szCs w:val="24"/>
        </w:rPr>
      </w:pPr>
    </w:p>
    <w:p w14:paraId="3204AE05" w14:textId="77777777" w:rsidR="00FC2B78" w:rsidRDefault="00494310">
      <w:pPr>
        <w:spacing w:after="0" w:line="360" w:lineRule="auto"/>
        <w:jc w:val="both"/>
        <w:rPr>
          <w:rFonts w:ascii="Arial" w:eastAsia="Arial" w:hAnsi="Arial" w:cs="Arial"/>
          <w:sz w:val="24"/>
          <w:szCs w:val="24"/>
        </w:rPr>
      </w:pPr>
      <w:r>
        <w:rPr>
          <w:rFonts w:ascii="Arial" w:eastAsia="Arial" w:hAnsi="Arial" w:cs="Arial"/>
          <w:sz w:val="24"/>
          <w:szCs w:val="24"/>
        </w:rPr>
        <w:t xml:space="preserve">En el </w:t>
      </w:r>
      <w:hyperlink r:id="rId11">
        <w:r>
          <w:rPr>
            <w:rFonts w:ascii="Arial" w:eastAsia="Arial" w:hAnsi="Arial" w:cs="Arial"/>
            <w:color w:val="000000"/>
            <w:sz w:val="24"/>
            <w:szCs w:val="24"/>
          </w:rPr>
          <w:t>ojo humano</w:t>
        </w:r>
      </w:hyperlink>
      <w:r>
        <w:rPr>
          <w:rFonts w:ascii="Arial" w:eastAsia="Arial" w:hAnsi="Arial" w:cs="Arial"/>
          <w:sz w:val="24"/>
          <w:szCs w:val="24"/>
        </w:rPr>
        <w:t xml:space="preserve"> el astigmatismo es frecuente en mayor o menor grado y suele asociarse a otros defectos de refracción, como </w:t>
      </w:r>
      <w:hyperlink r:id="rId12">
        <w:r>
          <w:rPr>
            <w:rFonts w:ascii="Arial" w:eastAsia="Arial" w:hAnsi="Arial" w:cs="Arial"/>
            <w:color w:val="000000"/>
            <w:sz w:val="24"/>
            <w:szCs w:val="24"/>
          </w:rPr>
          <w:t>miopía</w:t>
        </w:r>
      </w:hyperlink>
      <w:r>
        <w:rPr>
          <w:rFonts w:ascii="Arial" w:eastAsia="Arial" w:hAnsi="Arial" w:cs="Arial"/>
          <w:sz w:val="24"/>
          <w:szCs w:val="24"/>
        </w:rPr>
        <w:t xml:space="preserve"> o </w:t>
      </w:r>
      <w:hyperlink r:id="rId13">
        <w:r>
          <w:rPr>
            <w:rFonts w:ascii="Arial" w:eastAsia="Arial" w:hAnsi="Arial" w:cs="Arial"/>
            <w:color w:val="000000"/>
            <w:sz w:val="24"/>
            <w:szCs w:val="24"/>
          </w:rPr>
          <w:t>hipermetropía.</w:t>
        </w:r>
      </w:hyperlink>
      <w:r>
        <w:rPr>
          <w:rFonts w:ascii="Arial" w:eastAsia="Arial" w:hAnsi="Arial" w:cs="Arial"/>
          <w:sz w:val="24"/>
          <w:szCs w:val="24"/>
        </w:rPr>
        <w:t xml:space="preserve"> Puede corregirse mediante el uso de lentes cilíndricas.</w:t>
      </w:r>
    </w:p>
    <w:p w14:paraId="7894CF0E"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b/>
          <w:color w:val="000000"/>
          <w:sz w:val="24"/>
          <w:szCs w:val="24"/>
        </w:rPr>
      </w:pPr>
    </w:p>
    <w:p w14:paraId="7FD832BC"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Hipermetropía</w:t>
      </w:r>
    </w:p>
    <w:p w14:paraId="241F50CF"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606BC813"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hipermetropía es un defecto ocular de refracción que consiste en que los rayos de luz que vienen del infinito inciden en el </w:t>
      </w:r>
      <w:hyperlink r:id="rId14">
        <w:r>
          <w:rPr>
            <w:rFonts w:ascii="Arial" w:eastAsia="Arial" w:hAnsi="Arial" w:cs="Arial"/>
            <w:color w:val="000000"/>
            <w:sz w:val="24"/>
            <w:szCs w:val="24"/>
          </w:rPr>
          <w:t>ojo humano,</w:t>
        </w:r>
      </w:hyperlink>
      <w:r>
        <w:rPr>
          <w:rFonts w:ascii="Arial" w:eastAsia="Arial" w:hAnsi="Arial" w:cs="Arial"/>
          <w:color w:val="000000"/>
          <w:sz w:val="24"/>
          <w:szCs w:val="24"/>
        </w:rPr>
        <w:t xml:space="preserve"> </w:t>
      </w:r>
      <w:r>
        <w:rPr>
          <w:rFonts w:ascii="Arial" w:eastAsia="Arial" w:hAnsi="Arial" w:cs="Arial"/>
          <w:sz w:val="24"/>
          <w:szCs w:val="24"/>
        </w:rPr>
        <w:t>convergen</w:t>
      </w:r>
      <w:r>
        <w:rPr>
          <w:rFonts w:ascii="Arial" w:eastAsia="Arial" w:hAnsi="Arial" w:cs="Arial"/>
          <w:color w:val="000000"/>
          <w:sz w:val="24"/>
          <w:szCs w:val="24"/>
        </w:rPr>
        <w:t xml:space="preserve"> detrás de la retina, formando de esta manera el foco o imagen. Es debida casi siempre a que el ojo es muy corto en su eje antero-posterior.</w:t>
      </w:r>
    </w:p>
    <w:p w14:paraId="21E7678E" w14:textId="77777777" w:rsidR="00FC2B78" w:rsidRDefault="00FC2B7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457C8695"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un defecto muy frecuente, aunque no es progresivo ni tiene repercusiones graves. Se trata mediante el uso de lentes compensadoras convergentes o </w:t>
      </w:r>
      <w:r>
        <w:rPr>
          <w:rFonts w:ascii="Arial" w:eastAsia="Arial" w:hAnsi="Arial" w:cs="Arial"/>
          <w:color w:val="000000"/>
          <w:sz w:val="24"/>
          <w:szCs w:val="24"/>
        </w:rPr>
        <w:lastRenderedPageBreak/>
        <w:t xml:space="preserve">convexas y/o se corrige con cirugías refractivas a base de rayos láser. La hipermetropía, la </w:t>
      </w:r>
      <w:hyperlink r:id="rId15">
        <w:r>
          <w:rPr>
            <w:rFonts w:ascii="Arial" w:eastAsia="Arial" w:hAnsi="Arial" w:cs="Arial"/>
            <w:color w:val="000000"/>
            <w:sz w:val="24"/>
            <w:szCs w:val="24"/>
          </w:rPr>
          <w:t>miopía</w:t>
        </w:r>
      </w:hyperlink>
      <w:r>
        <w:rPr>
          <w:rFonts w:ascii="Arial" w:eastAsia="Arial" w:hAnsi="Arial" w:cs="Arial"/>
          <w:color w:val="000000"/>
          <w:sz w:val="24"/>
          <w:szCs w:val="24"/>
        </w:rPr>
        <w:t xml:space="preserve"> y el </w:t>
      </w:r>
      <w:hyperlink r:id="rId16">
        <w:r>
          <w:rPr>
            <w:rFonts w:ascii="Arial" w:eastAsia="Arial" w:hAnsi="Arial" w:cs="Arial"/>
            <w:color w:val="000000"/>
            <w:sz w:val="24"/>
            <w:szCs w:val="24"/>
          </w:rPr>
          <w:t>astigmatismo</w:t>
        </w:r>
      </w:hyperlink>
      <w:r>
        <w:rPr>
          <w:rFonts w:ascii="Arial" w:eastAsia="Arial" w:hAnsi="Arial" w:cs="Arial"/>
          <w:color w:val="000000"/>
          <w:sz w:val="24"/>
          <w:szCs w:val="24"/>
        </w:rPr>
        <w:t xml:space="preserve"> son los principales defectos de refracción o </w:t>
      </w:r>
      <w:hyperlink r:id="rId17">
        <w:r>
          <w:rPr>
            <w:rFonts w:ascii="Arial" w:eastAsia="Arial" w:hAnsi="Arial" w:cs="Arial"/>
            <w:color w:val="000000"/>
            <w:sz w:val="24"/>
            <w:szCs w:val="24"/>
          </w:rPr>
          <w:t>ametropías.</w:t>
        </w:r>
      </w:hyperlink>
      <w:r>
        <w:rPr>
          <w:rFonts w:ascii="Arial" w:eastAsia="Arial" w:hAnsi="Arial" w:cs="Arial"/>
          <w:color w:val="000000"/>
          <w:sz w:val="24"/>
          <w:szCs w:val="24"/>
        </w:rPr>
        <w:t xml:space="preserve"> La magnitud de este defecto se mide en </w:t>
      </w:r>
      <w:hyperlink r:id="rId18">
        <w:r>
          <w:rPr>
            <w:rFonts w:ascii="Arial" w:eastAsia="Arial" w:hAnsi="Arial" w:cs="Arial"/>
            <w:color w:val="000000"/>
            <w:sz w:val="24"/>
            <w:szCs w:val="24"/>
          </w:rPr>
          <w:t>dioptrías</w:t>
        </w:r>
      </w:hyperlink>
      <w:r>
        <w:rPr>
          <w:rFonts w:ascii="Arial" w:eastAsia="Arial" w:hAnsi="Arial" w:cs="Arial"/>
          <w:color w:val="000000"/>
          <w:sz w:val="24"/>
          <w:szCs w:val="24"/>
        </w:rPr>
        <w:t xml:space="preserve"> positivas.</w:t>
      </w:r>
    </w:p>
    <w:p w14:paraId="5543CD5B"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b/>
          <w:color w:val="000000"/>
          <w:sz w:val="24"/>
          <w:szCs w:val="24"/>
        </w:rPr>
      </w:pPr>
    </w:p>
    <w:p w14:paraId="252A03FC"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Conjuntivitis</w:t>
      </w:r>
    </w:p>
    <w:p w14:paraId="57E7B1EA"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6EA12FE7"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la inflamación de la capa </w:t>
      </w:r>
      <w:hyperlink r:id="rId19">
        <w:r>
          <w:rPr>
            <w:rFonts w:ascii="Arial" w:eastAsia="Arial" w:hAnsi="Arial" w:cs="Arial"/>
            <w:color w:val="000000"/>
            <w:sz w:val="24"/>
            <w:szCs w:val="24"/>
          </w:rPr>
          <w:t>conjuntiva,</w:t>
        </w:r>
      </w:hyperlink>
      <w:r>
        <w:rPr>
          <w:rFonts w:ascii="Arial" w:eastAsia="Arial" w:hAnsi="Arial" w:cs="Arial"/>
          <w:color w:val="000000"/>
          <w:sz w:val="24"/>
          <w:szCs w:val="24"/>
        </w:rPr>
        <w:t xml:space="preserve"> membrana mucosa que recubre el interior de los párpados y que se extiende a la parte anterior del </w:t>
      </w:r>
      <w:hyperlink r:id="rId20">
        <w:r>
          <w:rPr>
            <w:rFonts w:ascii="Arial" w:eastAsia="Arial" w:hAnsi="Arial" w:cs="Arial"/>
            <w:color w:val="000000"/>
            <w:sz w:val="24"/>
            <w:szCs w:val="24"/>
          </w:rPr>
          <w:t>globo ocular.</w:t>
        </w:r>
      </w:hyperlink>
      <w:r>
        <w:rPr>
          <w:rFonts w:ascii="Arial" w:eastAsia="Arial" w:hAnsi="Arial" w:cs="Arial"/>
          <w:color w:val="000000"/>
          <w:sz w:val="24"/>
          <w:szCs w:val="24"/>
        </w:rPr>
        <w:t xml:space="preserve"> Según su causa la conjuntivitis se clasifica en:</w:t>
      </w:r>
    </w:p>
    <w:p w14:paraId="38B79F37"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7763C2D7" w14:textId="77777777" w:rsidR="00FC2B78" w:rsidRDefault="00494310">
      <w:pPr>
        <w:widowControl w:val="0"/>
        <w:numPr>
          <w:ilvl w:val="0"/>
          <w:numId w:val="13"/>
        </w:numPr>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Bacteriana:</w:t>
      </w:r>
      <w:r>
        <w:rPr>
          <w:rFonts w:ascii="Arial" w:eastAsia="Arial" w:hAnsi="Arial" w:cs="Arial"/>
          <w:color w:val="000000"/>
          <w:sz w:val="24"/>
          <w:szCs w:val="24"/>
        </w:rPr>
        <w:t xml:space="preserve"> Diferentes bacterias pueden ser responsables de la infección. En la conjuntivitis bacteriana los síntomas del ojo enrojecido están generalmente asociados con lagrimeo de color verdoso o amarillento. A menudo, también están presentes síntomas tales como la congestión de los senos paranasales y mucosidad nasal. Los párpados pueden </w:t>
      </w:r>
      <w:r>
        <w:rPr>
          <w:rFonts w:ascii="Arial" w:eastAsia="Arial" w:hAnsi="Arial" w:cs="Arial"/>
          <w:sz w:val="24"/>
          <w:szCs w:val="24"/>
        </w:rPr>
        <w:t>edematizarse</w:t>
      </w:r>
      <w:r>
        <w:rPr>
          <w:rFonts w:ascii="Arial" w:eastAsia="Arial" w:hAnsi="Arial" w:cs="Arial"/>
          <w:color w:val="000000"/>
          <w:sz w:val="24"/>
          <w:szCs w:val="24"/>
        </w:rPr>
        <w:t>. Se caracterizan por secreción abundante y amarillenta, y formación de papilas en la conjuntiva palpebral. Se tratan con higiene ocular y antibióticos tópicos. La conjuntivitis bacteriana es muy contagiosa, pero generalmente se cura entre 7 y 10 días después del comienzo de los síntomas.</w:t>
      </w:r>
    </w:p>
    <w:p w14:paraId="4936A558" w14:textId="77777777" w:rsidR="00FC2B78" w:rsidRDefault="00FC2B78">
      <w:pPr>
        <w:widowControl w:val="0"/>
        <w:pBdr>
          <w:top w:val="nil"/>
          <w:left w:val="nil"/>
          <w:bottom w:val="nil"/>
          <w:right w:val="nil"/>
          <w:between w:val="nil"/>
        </w:pBdr>
        <w:tabs>
          <w:tab w:val="left" w:pos="709"/>
        </w:tabs>
        <w:spacing w:after="0" w:line="360" w:lineRule="auto"/>
        <w:ind w:left="993" w:hanging="283"/>
        <w:jc w:val="both"/>
        <w:rPr>
          <w:rFonts w:ascii="Arial" w:eastAsia="Arial" w:hAnsi="Arial" w:cs="Arial"/>
          <w:color w:val="000000"/>
          <w:sz w:val="24"/>
          <w:szCs w:val="24"/>
        </w:rPr>
      </w:pPr>
    </w:p>
    <w:p w14:paraId="507208E5" w14:textId="77777777" w:rsidR="00FC2B78" w:rsidRDefault="00494310">
      <w:pPr>
        <w:widowControl w:val="0"/>
        <w:numPr>
          <w:ilvl w:val="0"/>
          <w:numId w:val="13"/>
        </w:numPr>
        <w:pBdr>
          <w:top w:val="nil"/>
          <w:left w:val="nil"/>
          <w:bottom w:val="nil"/>
          <w:right w:val="nil"/>
          <w:between w:val="nil"/>
        </w:pBdr>
        <w:tabs>
          <w:tab w:val="left" w:pos="284"/>
        </w:tabs>
        <w:spacing w:after="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Víricas:</w:t>
      </w:r>
      <w:r>
        <w:rPr>
          <w:rFonts w:ascii="Arial" w:eastAsia="Arial" w:hAnsi="Arial" w:cs="Arial"/>
          <w:color w:val="000000"/>
          <w:sz w:val="24"/>
          <w:szCs w:val="24"/>
        </w:rPr>
        <w:t xml:space="preserve"> Son las más frecuentes, producidas generalmente por adenovirus, con menos legañas y posible afectación corneal dolorosa. Son muy contagiosas y </w:t>
      </w:r>
      <w:r>
        <w:rPr>
          <w:rFonts w:ascii="Arial" w:eastAsia="Arial" w:hAnsi="Arial" w:cs="Arial"/>
          <w:color w:val="000000"/>
          <w:sz w:val="24"/>
          <w:szCs w:val="24"/>
        </w:rPr>
        <w:lastRenderedPageBreak/>
        <w:t>habitualmente remiten espontáneamente, aunque se suele pautar tratamiento sintomático tópico (</w:t>
      </w:r>
      <w:r>
        <w:rPr>
          <w:rFonts w:ascii="Arial" w:eastAsia="Arial" w:hAnsi="Arial" w:cs="Arial"/>
          <w:sz w:val="24"/>
          <w:szCs w:val="24"/>
        </w:rPr>
        <w:t>antiinflamatorios</w:t>
      </w:r>
      <w:r>
        <w:rPr>
          <w:rFonts w:ascii="Arial" w:eastAsia="Arial" w:hAnsi="Arial" w:cs="Arial"/>
          <w:color w:val="000000"/>
          <w:sz w:val="24"/>
          <w:szCs w:val="24"/>
        </w:rPr>
        <w:t>) y lavados frecuentes. Son producidas por las manos, toallas o hasta estornudos. Los síntomas son enrojecimiento de los ojos, eritema bilocular, lagrimeo, costras amarillas, ojos con escleras hiperémicas, epifora, conjuntivas hiperémicas. Se compromete en algunos casos la córnea.</w:t>
      </w:r>
    </w:p>
    <w:p w14:paraId="41CC108F" w14:textId="77777777" w:rsidR="00FC2B78" w:rsidRDefault="00FC2B78">
      <w:pPr>
        <w:widowControl w:val="0"/>
        <w:pBdr>
          <w:top w:val="nil"/>
          <w:left w:val="nil"/>
          <w:bottom w:val="nil"/>
          <w:right w:val="nil"/>
          <w:between w:val="nil"/>
        </w:pBdr>
        <w:tabs>
          <w:tab w:val="left" w:pos="709"/>
        </w:tabs>
        <w:spacing w:after="0" w:line="360" w:lineRule="auto"/>
        <w:ind w:left="284"/>
        <w:jc w:val="both"/>
        <w:rPr>
          <w:rFonts w:ascii="Arial" w:eastAsia="Arial" w:hAnsi="Arial" w:cs="Arial"/>
          <w:color w:val="000000"/>
          <w:sz w:val="24"/>
          <w:szCs w:val="24"/>
        </w:rPr>
      </w:pPr>
    </w:p>
    <w:p w14:paraId="4CA40FD8" w14:textId="77777777" w:rsidR="00FC2B78" w:rsidRDefault="00494310">
      <w:pPr>
        <w:widowControl w:val="0"/>
        <w:numPr>
          <w:ilvl w:val="0"/>
          <w:numId w:val="13"/>
        </w:numPr>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Alérgicas:</w:t>
      </w:r>
      <w:r>
        <w:rPr>
          <w:rFonts w:ascii="Arial" w:eastAsia="Arial" w:hAnsi="Arial" w:cs="Arial"/>
          <w:color w:val="000000"/>
          <w:sz w:val="24"/>
          <w:szCs w:val="24"/>
        </w:rPr>
        <w:t xml:space="preserve"> Típicamente estacionales, se distinguen por tener un importante picor, y por tener legañas acuosas y frecuente asociación con </w:t>
      </w:r>
      <w:hyperlink r:id="rId21">
        <w:r>
          <w:rPr>
            <w:rFonts w:ascii="Arial" w:eastAsia="Arial" w:hAnsi="Arial" w:cs="Arial"/>
            <w:color w:val="000000"/>
            <w:sz w:val="24"/>
            <w:szCs w:val="24"/>
          </w:rPr>
          <w:t>sinusitis.</w:t>
        </w:r>
      </w:hyperlink>
    </w:p>
    <w:p w14:paraId="4D00BFC3" w14:textId="77777777" w:rsidR="00FC2B78" w:rsidRDefault="00FC2B78">
      <w:pPr>
        <w:widowControl w:val="0"/>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p>
    <w:p w14:paraId="30C98411" w14:textId="77777777" w:rsidR="00FC2B78" w:rsidRDefault="00494310">
      <w:pPr>
        <w:widowControl w:val="0"/>
        <w:numPr>
          <w:ilvl w:val="0"/>
          <w:numId w:val="13"/>
        </w:numPr>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 xml:space="preserve">Por cuerpo extraño: </w:t>
      </w:r>
      <w:r>
        <w:rPr>
          <w:rFonts w:ascii="Arial" w:eastAsia="Arial" w:hAnsi="Arial" w:cs="Arial"/>
          <w:color w:val="000000"/>
          <w:sz w:val="24"/>
          <w:szCs w:val="24"/>
        </w:rPr>
        <w:t xml:space="preserve">El mal uso de las </w:t>
      </w:r>
      <w:hyperlink r:id="rId22">
        <w:r>
          <w:rPr>
            <w:rFonts w:ascii="Arial" w:eastAsia="Arial" w:hAnsi="Arial" w:cs="Arial"/>
            <w:color w:val="000000"/>
            <w:sz w:val="24"/>
            <w:szCs w:val="24"/>
          </w:rPr>
          <w:t>lentes de contacto</w:t>
        </w:r>
      </w:hyperlink>
      <w:r>
        <w:rPr>
          <w:rFonts w:ascii="Arial" w:eastAsia="Arial" w:hAnsi="Arial" w:cs="Arial"/>
          <w:color w:val="000000"/>
          <w:sz w:val="24"/>
          <w:szCs w:val="24"/>
        </w:rPr>
        <w:t xml:space="preserve"> o lentillas, o si no están correctamente desinfectadas, facilita la introducción de los </w:t>
      </w:r>
      <w:hyperlink r:id="rId23">
        <w:r>
          <w:rPr>
            <w:rFonts w:ascii="Arial" w:eastAsia="Arial" w:hAnsi="Arial" w:cs="Arial"/>
            <w:color w:val="000000"/>
            <w:sz w:val="24"/>
            <w:szCs w:val="24"/>
          </w:rPr>
          <w:t>microbios</w:t>
        </w:r>
      </w:hyperlink>
      <w:r>
        <w:rPr>
          <w:rFonts w:ascii="Arial" w:eastAsia="Arial" w:hAnsi="Arial" w:cs="Arial"/>
          <w:color w:val="000000"/>
          <w:sz w:val="24"/>
          <w:szCs w:val="24"/>
        </w:rPr>
        <w:t xml:space="preserve"> causando conjuntivitis.</w:t>
      </w:r>
    </w:p>
    <w:p w14:paraId="3DDC4D0D" w14:textId="77777777" w:rsidR="00FC2B78" w:rsidRDefault="00FC2B78">
      <w:pPr>
        <w:widowControl w:val="0"/>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p>
    <w:p w14:paraId="4784D380" w14:textId="77777777" w:rsidR="00FC2B78" w:rsidRDefault="00494310">
      <w:pPr>
        <w:widowControl w:val="0"/>
        <w:numPr>
          <w:ilvl w:val="0"/>
          <w:numId w:val="13"/>
        </w:numPr>
        <w:pBdr>
          <w:top w:val="nil"/>
          <w:left w:val="nil"/>
          <w:bottom w:val="nil"/>
          <w:right w:val="nil"/>
          <w:between w:val="nil"/>
        </w:pBdr>
        <w:tabs>
          <w:tab w:val="left" w:pos="709"/>
        </w:tabs>
        <w:spacing w:after="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Traumáticas:</w:t>
      </w:r>
      <w:r>
        <w:rPr>
          <w:rFonts w:ascii="Arial" w:eastAsia="Arial" w:hAnsi="Arial" w:cs="Arial"/>
          <w:color w:val="000000"/>
          <w:sz w:val="24"/>
          <w:szCs w:val="24"/>
        </w:rPr>
        <w:t xml:space="preserve"> Los arañazos y los golpes facilitan la sobreinfección conjuntival.</w:t>
      </w:r>
    </w:p>
    <w:p w14:paraId="4DB29EEE"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5887EA99"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Catarata</w:t>
      </w:r>
    </w:p>
    <w:p w14:paraId="713FDD20"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3A1303E5"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catarata es la opacidad parcial o total del cristalino. La opacidad provoca que la luz se disperse dentro del ojo y no se pueda enfocar en la retina, creando imágenes difusas. Es la causa más común de ceguera tratable con cirugía. Tiene diversas causas, pero se le atribuye mayormente a la edad, aunque también hay muchas </w:t>
      </w:r>
      <w:r>
        <w:rPr>
          <w:rFonts w:ascii="Arial" w:eastAsia="Arial" w:hAnsi="Arial" w:cs="Arial"/>
          <w:color w:val="000000"/>
          <w:sz w:val="24"/>
          <w:szCs w:val="24"/>
        </w:rPr>
        <w:lastRenderedPageBreak/>
        <w:t>otras causas. Con el tiempo se depositan partículas de un color café-amarillo que poco a poco van opacando el cristalino.</w:t>
      </w:r>
    </w:p>
    <w:p w14:paraId="068937FE" w14:textId="77777777" w:rsidR="00FC2B78" w:rsidRDefault="00FC2B7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5935CFE8"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Las cataratas generan problemas para apreciar los colores, cambios de contraste y actividades cotidianas como conducir, leer, etc.</w:t>
      </w:r>
    </w:p>
    <w:p w14:paraId="0075DFCF" w14:textId="77777777" w:rsidR="00FC2B78" w:rsidRDefault="00FC2B78">
      <w:pPr>
        <w:widowControl w:val="0"/>
        <w:pBdr>
          <w:top w:val="nil"/>
          <w:left w:val="nil"/>
          <w:bottom w:val="nil"/>
          <w:right w:val="nil"/>
          <w:between w:val="nil"/>
        </w:pBdr>
        <w:spacing w:after="0" w:line="360" w:lineRule="auto"/>
        <w:ind w:left="720"/>
        <w:jc w:val="both"/>
        <w:rPr>
          <w:rFonts w:ascii="Arial" w:eastAsia="Arial" w:hAnsi="Arial" w:cs="Arial"/>
          <w:b/>
          <w:color w:val="000000"/>
          <w:sz w:val="24"/>
          <w:szCs w:val="24"/>
        </w:rPr>
      </w:pPr>
    </w:p>
    <w:p w14:paraId="4517CA96" w14:textId="77777777" w:rsidR="00FC2B78" w:rsidRDefault="00494310">
      <w:pPr>
        <w:widowControl w:val="0"/>
        <w:numPr>
          <w:ilvl w:val="0"/>
          <w:numId w:val="12"/>
        </w:numPr>
        <w:pBdr>
          <w:top w:val="nil"/>
          <w:left w:val="nil"/>
          <w:bottom w:val="nil"/>
          <w:right w:val="nil"/>
          <w:between w:val="nil"/>
        </w:pBdr>
        <w:spacing w:after="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Presbicia</w:t>
      </w:r>
    </w:p>
    <w:p w14:paraId="3CC3B3C9" w14:textId="77777777" w:rsidR="00FC2B78" w:rsidRDefault="00FC2B78">
      <w:pPr>
        <w:widowControl w:val="0"/>
        <w:pBdr>
          <w:top w:val="nil"/>
          <w:left w:val="nil"/>
          <w:bottom w:val="nil"/>
          <w:right w:val="nil"/>
          <w:between w:val="nil"/>
        </w:pBdr>
        <w:spacing w:after="0" w:line="360" w:lineRule="auto"/>
        <w:ind w:left="284"/>
        <w:jc w:val="both"/>
        <w:rPr>
          <w:rFonts w:ascii="Arial" w:eastAsia="Arial" w:hAnsi="Arial" w:cs="Arial"/>
          <w:b/>
          <w:color w:val="000000"/>
          <w:sz w:val="24"/>
          <w:szCs w:val="24"/>
        </w:rPr>
      </w:pPr>
    </w:p>
    <w:p w14:paraId="3AD4FC6A" w14:textId="77777777" w:rsidR="00FC2B78" w:rsidRDefault="00494310">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presbicia o presbiopía, también denominada vista cansada, es un defecto ocular asociado a la edad que aparece generalmente a partir de los 40 años y ocasiona dificultad para ver de cerca. Se debe a la reducción del poder de </w:t>
      </w:r>
      <w:hyperlink r:id="rId24">
        <w:r>
          <w:rPr>
            <w:rFonts w:ascii="Arial" w:eastAsia="Arial" w:hAnsi="Arial" w:cs="Arial"/>
            <w:color w:val="000000"/>
            <w:sz w:val="24"/>
            <w:szCs w:val="24"/>
          </w:rPr>
          <w:t>acomodación</w:t>
        </w:r>
      </w:hyperlink>
      <w:r>
        <w:rPr>
          <w:rFonts w:ascii="Arial" w:eastAsia="Arial" w:hAnsi="Arial" w:cs="Arial"/>
          <w:color w:val="000000"/>
          <w:sz w:val="24"/>
          <w:szCs w:val="24"/>
        </w:rPr>
        <w:t xml:space="preserve"> del ojo que provoca disminución de la capacidad para enfocar objetos cercanos.</w:t>
      </w:r>
    </w:p>
    <w:p w14:paraId="17E4328C" w14:textId="77777777" w:rsidR="00FC2B78" w:rsidRDefault="00FC2B78">
      <w:pPr>
        <w:widowControl w:val="0"/>
        <w:pBdr>
          <w:top w:val="nil"/>
          <w:left w:val="nil"/>
          <w:bottom w:val="nil"/>
          <w:right w:val="nil"/>
          <w:between w:val="nil"/>
        </w:pBdr>
        <w:tabs>
          <w:tab w:val="left" w:pos="284"/>
        </w:tabs>
        <w:spacing w:after="0" w:line="360" w:lineRule="auto"/>
        <w:ind w:left="426" w:right="142"/>
        <w:jc w:val="both"/>
        <w:rPr>
          <w:rFonts w:ascii="Arial" w:eastAsia="Arial" w:hAnsi="Arial" w:cs="Arial"/>
          <w:b/>
          <w:color w:val="000000"/>
          <w:sz w:val="24"/>
          <w:szCs w:val="24"/>
        </w:rPr>
      </w:pPr>
    </w:p>
    <w:p w14:paraId="2873D5A4"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Fases</w:t>
      </w:r>
    </w:p>
    <w:p w14:paraId="7ED7B191" w14:textId="77777777" w:rsidR="00FC2B78" w:rsidRDefault="00FC2B78">
      <w:pPr>
        <w:widowControl w:val="0"/>
        <w:pBdr>
          <w:top w:val="nil"/>
          <w:left w:val="nil"/>
          <w:bottom w:val="nil"/>
          <w:right w:val="nil"/>
          <w:between w:val="nil"/>
        </w:pBdr>
        <w:tabs>
          <w:tab w:val="left" w:pos="284"/>
        </w:tabs>
        <w:spacing w:after="0" w:line="360" w:lineRule="auto"/>
        <w:ind w:left="284" w:right="142"/>
        <w:jc w:val="both"/>
        <w:rPr>
          <w:rFonts w:ascii="Arial" w:eastAsia="Arial" w:hAnsi="Arial" w:cs="Arial"/>
          <w:color w:val="000000"/>
          <w:sz w:val="24"/>
          <w:szCs w:val="24"/>
        </w:rPr>
      </w:pPr>
    </w:p>
    <w:p w14:paraId="33C40256" w14:textId="77777777" w:rsidR="00FC2B78" w:rsidRDefault="00494310">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El Sistema de Vigilancia Epidemiológica para la Conservación Visual va dirigido a todos los trabajadores que por razón de la actividad laboral que realizan se ven expuestos a la transmisión accidental de patologías visuales. Este Sistema se divide en cinco (5) fases:</w:t>
      </w:r>
    </w:p>
    <w:p w14:paraId="019A5E0F"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1A171D80"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Identificación De Peligros, Evaluación Y Valoración De Riesgos</w:t>
      </w:r>
    </w:p>
    <w:p w14:paraId="03D365E3"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5FF85EC9" w14:textId="77777777" w:rsidR="00FC2B78" w:rsidRDefault="00494310">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En la Matriz de identificación de peligros, evaluación y valoración de riesgos, se </w:t>
      </w:r>
      <w:r>
        <w:rPr>
          <w:rFonts w:ascii="Arial" w:eastAsia="Arial" w:hAnsi="Arial" w:cs="Arial"/>
          <w:color w:val="000000"/>
          <w:sz w:val="24"/>
          <w:szCs w:val="24"/>
        </w:rPr>
        <w:lastRenderedPageBreak/>
        <w:t>identifican en cada una de las áreas, actividades y tareas con riesgo visual, así mismo la población expuesta que le pueda afectar la salud.</w:t>
      </w:r>
    </w:p>
    <w:p w14:paraId="565938BF"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37E2D2F3"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Diagnósticos De Condiciones De Salud</w:t>
      </w:r>
    </w:p>
    <w:p w14:paraId="13C38CC5"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4FFC28E6" w14:textId="77777777" w:rsidR="00FC2B78" w:rsidRDefault="00494310">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Realización de exámenes médicos ocupacionales: los trabajadores serán evaluados a través de los exámenes médicos periódicos (</w:t>
      </w:r>
      <w:proofErr w:type="spellStart"/>
      <w:r>
        <w:rPr>
          <w:rFonts w:ascii="Arial" w:eastAsia="Arial" w:hAnsi="Arial" w:cs="Arial"/>
          <w:color w:val="000000"/>
          <w:sz w:val="24"/>
          <w:szCs w:val="24"/>
        </w:rPr>
        <w:t>visiometría</w:t>
      </w:r>
      <w:proofErr w:type="spellEnd"/>
      <w:r>
        <w:rPr>
          <w:rFonts w:ascii="Arial" w:eastAsia="Arial" w:hAnsi="Arial" w:cs="Arial"/>
          <w:color w:val="000000"/>
          <w:sz w:val="24"/>
          <w:szCs w:val="24"/>
        </w:rPr>
        <w:t>) que se hace con el fin de identificar cambios subclínicos o clínicos con respecto a la exposición a factores de riesgo visual y tener un diagnóstico de las condiciones de salud de sus empleados, que permita orientar las acciones del presente programa.</w:t>
      </w:r>
    </w:p>
    <w:p w14:paraId="17B9D666"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4F62CE89"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Intervención Del Trabajador</w:t>
      </w:r>
    </w:p>
    <w:p w14:paraId="1C9A428D"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64F7DA76" w14:textId="77777777" w:rsidR="00FC2B78" w:rsidRDefault="00494310">
      <w:pPr>
        <w:widowControl w:val="0"/>
        <w:numPr>
          <w:ilvl w:val="0"/>
          <w:numId w:val="7"/>
        </w:numPr>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sz w:val="24"/>
          <w:szCs w:val="24"/>
        </w:rPr>
        <w:t>Detección</w:t>
      </w:r>
      <w:r>
        <w:rPr>
          <w:rFonts w:ascii="Arial" w:eastAsia="Arial" w:hAnsi="Arial" w:cs="Arial"/>
          <w:color w:val="000000"/>
          <w:sz w:val="24"/>
          <w:szCs w:val="24"/>
        </w:rPr>
        <w:t xml:space="preserve"> precoz de las alteraciones de la salud provocadas por el tiempo de exposición.</w:t>
      </w:r>
    </w:p>
    <w:p w14:paraId="1384C666" w14:textId="77777777" w:rsidR="00FC2B78" w:rsidRDefault="00494310">
      <w:pPr>
        <w:widowControl w:val="0"/>
        <w:numPr>
          <w:ilvl w:val="0"/>
          <w:numId w:val="7"/>
        </w:numPr>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Pausas activas.</w:t>
      </w:r>
    </w:p>
    <w:p w14:paraId="67BBEF40" w14:textId="77777777" w:rsidR="00FC2B78" w:rsidRDefault="00494310">
      <w:pPr>
        <w:widowControl w:val="0"/>
        <w:numPr>
          <w:ilvl w:val="0"/>
          <w:numId w:val="7"/>
        </w:numPr>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Plan de capacitación: autocuidado, uso de elementos de protección personal (EPP), conservación visual.</w:t>
      </w:r>
    </w:p>
    <w:p w14:paraId="2FD64CEF"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4B5228C4"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Evaluación</w:t>
      </w:r>
    </w:p>
    <w:p w14:paraId="29F2CD08"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62B07FF9" w14:textId="6219AED4" w:rsidR="00FC2B78" w:rsidRDefault="00494310">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r>
        <w:rPr>
          <w:rFonts w:ascii="Arial" w:eastAsia="Arial" w:hAnsi="Arial" w:cs="Arial"/>
          <w:color w:val="000000"/>
          <w:sz w:val="24"/>
          <w:szCs w:val="24"/>
        </w:rPr>
        <w:t xml:space="preserve">A los trabajadores de </w:t>
      </w:r>
      <w:r>
        <w:rPr>
          <w:rFonts w:ascii="Arial" w:eastAsia="Arial" w:hAnsi="Arial" w:cs="Arial"/>
          <w:color w:val="000000"/>
        </w:rPr>
        <w:t xml:space="preserve">la </w:t>
      </w:r>
      <w:r w:rsidR="005378BA">
        <w:rPr>
          <w:rFonts w:ascii="Arial" w:eastAsia="Arial" w:hAnsi="Arial" w:cs="Arial"/>
          <w:b/>
          <w:i/>
          <w:color w:val="000000"/>
        </w:rPr>
        <w:t>GOBERNACION DE BOLIVAR</w:t>
      </w:r>
      <w:r>
        <w:rPr>
          <w:rFonts w:ascii="Arial" w:eastAsia="Arial" w:hAnsi="Arial" w:cs="Arial"/>
          <w:b/>
          <w:i/>
          <w:color w:val="000000"/>
        </w:rPr>
        <w:t xml:space="preserve">, </w:t>
      </w:r>
      <w:r>
        <w:rPr>
          <w:rFonts w:ascii="Arial" w:eastAsia="Arial" w:hAnsi="Arial" w:cs="Arial"/>
          <w:color w:val="000000"/>
          <w:sz w:val="24"/>
          <w:szCs w:val="24"/>
        </w:rPr>
        <w:t xml:space="preserve">que se les haya identificado </w:t>
      </w:r>
      <w:r>
        <w:rPr>
          <w:rFonts w:ascii="Arial" w:eastAsia="Arial" w:hAnsi="Arial" w:cs="Arial"/>
          <w:color w:val="000000"/>
          <w:sz w:val="24"/>
          <w:szCs w:val="24"/>
        </w:rPr>
        <w:lastRenderedPageBreak/>
        <w:t xml:space="preserve">una patología preexistente, se le realiza una evaluación de </w:t>
      </w:r>
      <w:proofErr w:type="spellStart"/>
      <w:r>
        <w:rPr>
          <w:rFonts w:ascii="Arial" w:eastAsia="Arial" w:hAnsi="Arial" w:cs="Arial"/>
          <w:color w:val="000000"/>
          <w:sz w:val="24"/>
          <w:szCs w:val="24"/>
        </w:rPr>
        <w:t>visiometrias</w:t>
      </w:r>
      <w:proofErr w:type="spellEnd"/>
      <w:r>
        <w:rPr>
          <w:rFonts w:ascii="Arial" w:eastAsia="Arial" w:hAnsi="Arial" w:cs="Arial"/>
          <w:color w:val="000000"/>
          <w:sz w:val="24"/>
          <w:szCs w:val="24"/>
        </w:rPr>
        <w:t>. Esta se enfatiza en la mejoría de los síntomas de origen visual que el trabajador haya descrito en la valoración anterior.</w:t>
      </w:r>
    </w:p>
    <w:p w14:paraId="282A6C05"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p w14:paraId="7E7EB941" w14:textId="77777777" w:rsidR="00FC2B78" w:rsidRDefault="00494310">
      <w:pPr>
        <w:widowControl w:val="0"/>
        <w:numPr>
          <w:ilvl w:val="1"/>
          <w:numId w:val="10"/>
        </w:num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r>
        <w:rPr>
          <w:rFonts w:ascii="Arial" w:eastAsia="Arial" w:hAnsi="Arial" w:cs="Arial"/>
          <w:b/>
          <w:color w:val="000000"/>
          <w:sz w:val="24"/>
          <w:szCs w:val="24"/>
        </w:rPr>
        <w:t>Indicadores</w:t>
      </w:r>
    </w:p>
    <w:p w14:paraId="5E95F0B7" w14:textId="77777777" w:rsidR="00FC2B78" w:rsidRDefault="00FC2B78">
      <w:pPr>
        <w:widowControl w:val="0"/>
        <w:pBdr>
          <w:top w:val="nil"/>
          <w:left w:val="nil"/>
          <w:bottom w:val="nil"/>
          <w:right w:val="nil"/>
          <w:between w:val="nil"/>
        </w:pBdr>
        <w:tabs>
          <w:tab w:val="left" w:pos="0"/>
        </w:tabs>
        <w:spacing w:after="0" w:line="360" w:lineRule="auto"/>
        <w:ind w:right="142"/>
        <w:jc w:val="both"/>
        <w:rPr>
          <w:rFonts w:ascii="Arial" w:eastAsia="Arial" w:hAnsi="Arial" w:cs="Arial"/>
          <w:color w:val="000000"/>
          <w:sz w:val="24"/>
          <w:szCs w:val="24"/>
        </w:rPr>
      </w:pPr>
    </w:p>
    <w:tbl>
      <w:tblPr>
        <w:tblStyle w:val="a5"/>
        <w:tblW w:w="9246" w:type="dxa"/>
        <w:tblInd w:w="245" w:type="dxa"/>
        <w:tblLayout w:type="fixed"/>
        <w:tblLook w:val="0400" w:firstRow="0" w:lastRow="0" w:firstColumn="0" w:lastColumn="0" w:noHBand="0" w:noVBand="1"/>
      </w:tblPr>
      <w:tblGrid>
        <w:gridCol w:w="4568"/>
        <w:gridCol w:w="4678"/>
      </w:tblGrid>
      <w:tr w:rsidR="00FC2B78" w14:paraId="6EF5C81E" w14:textId="77777777">
        <w:trPr>
          <w:trHeight w:val="1526"/>
        </w:trPr>
        <w:tc>
          <w:tcPr>
            <w:tcW w:w="4568" w:type="dxa"/>
            <w:tcBorders>
              <w:top w:val="single" w:sz="4" w:space="0" w:color="000000"/>
              <w:left w:val="single" w:sz="4" w:space="0" w:color="000000"/>
              <w:bottom w:val="single" w:sz="4" w:space="0" w:color="000000"/>
              <w:right w:val="single" w:sz="4" w:space="0" w:color="000000"/>
            </w:tcBorders>
            <w:vAlign w:val="center"/>
          </w:tcPr>
          <w:p w14:paraId="3940914B" w14:textId="77777777" w:rsidR="00FC2B78" w:rsidRDefault="00494310">
            <w:pPr>
              <w:pStyle w:val="Ttulo1"/>
              <w:tabs>
                <w:tab w:val="left" w:pos="284"/>
                <w:tab w:val="left" w:pos="1562"/>
              </w:tabs>
              <w:spacing w:line="360" w:lineRule="auto"/>
              <w:ind w:left="0" w:right="142" w:firstLine="0"/>
              <w:jc w:val="center"/>
              <w:outlineLvl w:val="0"/>
            </w:pPr>
            <w:r>
              <w:t>Expuestos:</w:t>
            </w:r>
          </w:p>
          <w:p w14:paraId="7D12CAE6" w14:textId="77777777" w:rsidR="00FC2B78" w:rsidRDefault="00FC2B78">
            <w:pPr>
              <w:pStyle w:val="Ttulo1"/>
              <w:tabs>
                <w:tab w:val="left" w:pos="284"/>
                <w:tab w:val="left" w:pos="1562"/>
              </w:tabs>
              <w:spacing w:line="360" w:lineRule="auto"/>
              <w:ind w:left="0" w:right="142" w:firstLine="0"/>
              <w:jc w:val="center"/>
              <w:outlineLvl w:val="0"/>
            </w:pPr>
          </w:p>
          <w:p w14:paraId="54FEE5E5" w14:textId="77777777" w:rsidR="00FC2B78" w:rsidRDefault="00494310">
            <w:pPr>
              <w:pStyle w:val="Ttulo1"/>
              <w:tabs>
                <w:tab w:val="left" w:pos="284"/>
                <w:tab w:val="left" w:pos="1562"/>
              </w:tabs>
              <w:spacing w:line="360" w:lineRule="auto"/>
              <w:ind w:left="0" w:right="142" w:firstLine="0"/>
              <w:jc w:val="center"/>
              <w:outlineLvl w:val="0"/>
              <w:rPr>
                <w:b w:val="0"/>
              </w:rPr>
            </w:pPr>
            <w:r>
              <w:rPr>
                <w:b w:val="0"/>
              </w:rPr>
              <w:t># De trabajadores expuestos x 100</w:t>
            </w:r>
          </w:p>
          <w:p w14:paraId="51C66446" w14:textId="77777777" w:rsidR="00FC2B78" w:rsidRDefault="00494310">
            <w:pPr>
              <w:pStyle w:val="Ttulo1"/>
              <w:tabs>
                <w:tab w:val="left" w:pos="284"/>
                <w:tab w:val="left" w:pos="1562"/>
              </w:tabs>
              <w:spacing w:line="360" w:lineRule="auto"/>
              <w:ind w:left="0" w:right="142" w:firstLine="0"/>
              <w:jc w:val="center"/>
              <w:outlineLvl w:val="0"/>
            </w:pPr>
            <w:r>
              <w:rPr>
                <w:b w:val="0"/>
              </w:rPr>
              <w:t># Total de trabajadores</w:t>
            </w:r>
            <w:r>
              <w:rPr>
                <w:noProof/>
                <w:lang w:val="es-CO"/>
              </w:rPr>
              <mc:AlternateContent>
                <mc:Choice Requires="wps">
                  <w:drawing>
                    <wp:anchor distT="0" distB="0" distL="114300" distR="114300" simplePos="0" relativeHeight="251658240" behindDoc="0" locked="0" layoutInCell="1" hidden="0" allowOverlap="1" wp14:anchorId="6C1B46E6" wp14:editId="6D7BD472">
                      <wp:simplePos x="0" y="0"/>
                      <wp:positionH relativeFrom="column">
                        <wp:posOffset>152400</wp:posOffset>
                      </wp:positionH>
                      <wp:positionV relativeFrom="paragraph">
                        <wp:posOffset>0</wp:posOffset>
                      </wp:positionV>
                      <wp:extent cx="0" cy="12700"/>
                      <wp:effectExtent l="0" t="0" r="0" b="0"/>
                      <wp:wrapNone/>
                      <wp:docPr id="17" name="Conector recto de flecha 17"/>
                      <wp:cNvGraphicFramePr/>
                      <a:graphic xmlns:a="http://schemas.openxmlformats.org/drawingml/2006/main">
                        <a:graphicData uri="http://schemas.microsoft.com/office/word/2010/wordprocessingShape">
                          <wps:wsp>
                            <wps:cNvCnPr/>
                            <wps:spPr>
                              <a:xfrm>
                                <a:off x="4194110" y="3780000"/>
                                <a:ext cx="230378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152400</wp:posOffset>
                      </wp:positionH>
                      <wp:positionV relativeFrom="paragraph">
                        <wp:posOffset>0</wp:posOffset>
                      </wp:positionV>
                      <wp:extent cx="0" cy="12700"/>
                      <wp:effectExtent b="0" l="0" r="0" t="0"/>
                      <wp:wrapNone/>
                      <wp:docPr id="17"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p>
        </w:tc>
        <w:tc>
          <w:tcPr>
            <w:tcW w:w="4678" w:type="dxa"/>
            <w:tcBorders>
              <w:top w:val="single" w:sz="4" w:space="0" w:color="000000"/>
              <w:left w:val="single" w:sz="4" w:space="0" w:color="000000"/>
              <w:bottom w:val="single" w:sz="4" w:space="0" w:color="000000"/>
              <w:right w:val="single" w:sz="4" w:space="0" w:color="000000"/>
            </w:tcBorders>
            <w:vAlign w:val="center"/>
          </w:tcPr>
          <w:p w14:paraId="4301A25A" w14:textId="77777777" w:rsidR="00FC2B78" w:rsidRDefault="00494310">
            <w:pPr>
              <w:pStyle w:val="Ttulo1"/>
              <w:tabs>
                <w:tab w:val="left" w:pos="284"/>
                <w:tab w:val="left" w:pos="1562"/>
              </w:tabs>
              <w:spacing w:line="360" w:lineRule="auto"/>
              <w:ind w:left="0" w:right="142" w:firstLine="0"/>
              <w:jc w:val="center"/>
              <w:outlineLvl w:val="0"/>
            </w:pPr>
            <w:r>
              <w:t>Incidencia:</w:t>
            </w:r>
          </w:p>
          <w:p w14:paraId="30BE3721" w14:textId="77777777" w:rsidR="00FC2B78" w:rsidRDefault="00FC2B78">
            <w:pPr>
              <w:pStyle w:val="Ttulo1"/>
              <w:tabs>
                <w:tab w:val="left" w:pos="284"/>
                <w:tab w:val="left" w:pos="1562"/>
              </w:tabs>
              <w:spacing w:line="360" w:lineRule="auto"/>
              <w:ind w:left="0" w:right="142" w:firstLine="0"/>
              <w:jc w:val="center"/>
              <w:outlineLvl w:val="0"/>
            </w:pPr>
          </w:p>
          <w:p w14:paraId="0C55BE10" w14:textId="77777777" w:rsidR="00FC2B78" w:rsidRDefault="00494310">
            <w:pPr>
              <w:pStyle w:val="Ttulo1"/>
              <w:tabs>
                <w:tab w:val="left" w:pos="284"/>
                <w:tab w:val="left" w:pos="1562"/>
              </w:tabs>
              <w:spacing w:line="360" w:lineRule="auto"/>
              <w:ind w:left="0" w:right="142" w:firstLine="0"/>
              <w:jc w:val="center"/>
              <w:outlineLvl w:val="0"/>
              <w:rPr>
                <w:b w:val="0"/>
              </w:rPr>
            </w:pPr>
            <w:r>
              <w:rPr>
                <w:b w:val="0"/>
              </w:rPr>
              <w:t># De trabajadores expuestos (casos nuevos) x 100</w:t>
            </w:r>
          </w:p>
          <w:p w14:paraId="506933D1" w14:textId="77777777" w:rsidR="00FC2B78" w:rsidRDefault="00494310">
            <w:pPr>
              <w:pStyle w:val="Ttulo1"/>
              <w:tabs>
                <w:tab w:val="left" w:pos="284"/>
                <w:tab w:val="left" w:pos="1562"/>
              </w:tabs>
              <w:spacing w:line="360" w:lineRule="auto"/>
              <w:ind w:left="0" w:right="142" w:firstLine="0"/>
              <w:jc w:val="center"/>
              <w:outlineLvl w:val="0"/>
            </w:pPr>
            <w:r>
              <w:rPr>
                <w:b w:val="0"/>
              </w:rPr>
              <w:t># De trabajadores expuestos</w:t>
            </w:r>
            <w:r>
              <w:rPr>
                <w:noProof/>
                <w:lang w:val="es-CO"/>
              </w:rPr>
              <mc:AlternateContent>
                <mc:Choice Requires="wps">
                  <w:drawing>
                    <wp:anchor distT="0" distB="0" distL="114300" distR="114300" simplePos="0" relativeHeight="251659264" behindDoc="0" locked="0" layoutInCell="1" hidden="0" allowOverlap="1" wp14:anchorId="42921306" wp14:editId="78F09F86">
                      <wp:simplePos x="0" y="0"/>
                      <wp:positionH relativeFrom="column">
                        <wp:posOffset>1</wp:posOffset>
                      </wp:positionH>
                      <wp:positionV relativeFrom="paragraph">
                        <wp:posOffset>0</wp:posOffset>
                      </wp:positionV>
                      <wp:extent cx="0" cy="12700"/>
                      <wp:effectExtent l="0" t="0" r="0" b="0"/>
                      <wp:wrapNone/>
                      <wp:docPr id="16" name="Conector recto de flecha 16"/>
                      <wp:cNvGraphicFramePr/>
                      <a:graphic xmlns:a="http://schemas.openxmlformats.org/drawingml/2006/main">
                        <a:graphicData uri="http://schemas.microsoft.com/office/word/2010/wordprocessingShape">
                          <wps:wsp>
                            <wps:cNvCnPr/>
                            <wps:spPr>
                              <a:xfrm>
                                <a:off x="3934167" y="3780000"/>
                                <a:ext cx="282366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6" name="image2.png"/>
                      <a:graphic>
                        <a:graphicData uri="http://schemas.openxmlformats.org/drawingml/2006/picture">
                          <pic:pic>
                            <pic:nvPicPr>
                              <pic:cNvPr id="0" name="image2.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p>
        </w:tc>
      </w:tr>
      <w:tr w:rsidR="00FC2B78" w14:paraId="5A694ECB" w14:textId="77777777">
        <w:trPr>
          <w:trHeight w:val="1530"/>
        </w:trPr>
        <w:tc>
          <w:tcPr>
            <w:tcW w:w="4568" w:type="dxa"/>
            <w:tcBorders>
              <w:top w:val="single" w:sz="4" w:space="0" w:color="000000"/>
              <w:left w:val="single" w:sz="4" w:space="0" w:color="000000"/>
              <w:bottom w:val="single" w:sz="4" w:space="0" w:color="000000"/>
              <w:right w:val="single" w:sz="4" w:space="0" w:color="000000"/>
            </w:tcBorders>
            <w:vAlign w:val="center"/>
          </w:tcPr>
          <w:p w14:paraId="660B1604" w14:textId="77777777" w:rsidR="00FC2B78" w:rsidRDefault="00494310">
            <w:pPr>
              <w:pStyle w:val="Ttulo1"/>
              <w:tabs>
                <w:tab w:val="left" w:pos="284"/>
                <w:tab w:val="left" w:pos="1562"/>
              </w:tabs>
              <w:spacing w:line="360" w:lineRule="auto"/>
              <w:ind w:left="0" w:right="142" w:firstLine="0"/>
              <w:jc w:val="center"/>
              <w:outlineLvl w:val="0"/>
            </w:pPr>
            <w:r>
              <w:t>Prevalencia</w:t>
            </w:r>
          </w:p>
          <w:p w14:paraId="52587FAD" w14:textId="77777777" w:rsidR="00FC2B78" w:rsidRDefault="00FC2B78">
            <w:pPr>
              <w:pStyle w:val="Ttulo1"/>
              <w:tabs>
                <w:tab w:val="left" w:pos="284"/>
                <w:tab w:val="left" w:pos="1562"/>
              </w:tabs>
              <w:spacing w:line="360" w:lineRule="auto"/>
              <w:ind w:left="0" w:right="142" w:firstLine="0"/>
              <w:jc w:val="center"/>
              <w:outlineLvl w:val="0"/>
            </w:pPr>
          </w:p>
          <w:p w14:paraId="28270317" w14:textId="77777777" w:rsidR="00FC2B78" w:rsidRDefault="00494310">
            <w:pPr>
              <w:pStyle w:val="Ttulo1"/>
              <w:tabs>
                <w:tab w:val="left" w:pos="284"/>
                <w:tab w:val="left" w:pos="1562"/>
              </w:tabs>
              <w:spacing w:line="360" w:lineRule="auto"/>
              <w:ind w:left="0" w:right="142" w:firstLine="0"/>
              <w:jc w:val="center"/>
              <w:outlineLvl w:val="0"/>
              <w:rPr>
                <w:b w:val="0"/>
              </w:rPr>
            </w:pPr>
            <w:r>
              <w:rPr>
                <w:b w:val="0"/>
              </w:rPr>
              <w:t># De casos existentes (nuevos + antiguos) x 100</w:t>
            </w:r>
          </w:p>
          <w:p w14:paraId="7BAE4AC4" w14:textId="77777777" w:rsidR="00FC2B78" w:rsidRDefault="00494310">
            <w:pPr>
              <w:pStyle w:val="Ttulo1"/>
              <w:tabs>
                <w:tab w:val="left" w:pos="284"/>
                <w:tab w:val="left" w:pos="1562"/>
              </w:tabs>
              <w:spacing w:line="360" w:lineRule="auto"/>
              <w:ind w:left="0" w:right="142" w:firstLine="0"/>
              <w:jc w:val="center"/>
              <w:outlineLvl w:val="0"/>
            </w:pPr>
            <w:r>
              <w:rPr>
                <w:b w:val="0"/>
              </w:rPr>
              <w:t># Total de trabajadores expuestos</w:t>
            </w:r>
            <w:r>
              <w:rPr>
                <w:noProof/>
                <w:lang w:val="es-CO"/>
              </w:rPr>
              <mc:AlternateContent>
                <mc:Choice Requires="wps">
                  <w:drawing>
                    <wp:anchor distT="0" distB="0" distL="114300" distR="114300" simplePos="0" relativeHeight="251660288" behindDoc="0" locked="0" layoutInCell="1" hidden="0" allowOverlap="1" wp14:anchorId="4224C96C" wp14:editId="185003E3">
                      <wp:simplePos x="0" y="0"/>
                      <wp:positionH relativeFrom="column">
                        <wp:posOffset>-25399</wp:posOffset>
                      </wp:positionH>
                      <wp:positionV relativeFrom="paragraph">
                        <wp:posOffset>0</wp:posOffset>
                      </wp:positionV>
                      <wp:extent cx="0" cy="12700"/>
                      <wp:effectExtent l="0" t="0" r="0" b="0"/>
                      <wp:wrapNone/>
                      <wp:docPr id="19" name="Conector recto de flecha 19"/>
                      <wp:cNvGraphicFramePr/>
                      <a:graphic xmlns:a="http://schemas.openxmlformats.org/drawingml/2006/main">
                        <a:graphicData uri="http://schemas.microsoft.com/office/word/2010/wordprocessingShape">
                          <wps:wsp>
                            <wps:cNvCnPr/>
                            <wps:spPr>
                              <a:xfrm>
                                <a:off x="3963427" y="3780000"/>
                                <a:ext cx="2765146"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0" cy="12700"/>
                      <wp:effectExtent b="0" l="0" r="0" t="0"/>
                      <wp:wrapNone/>
                      <wp:docPr id="19"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0" cy="12700"/>
                              </a:xfrm>
                              <a:prstGeom prst="rect"/>
                              <a:ln/>
                            </pic:spPr>
                          </pic:pic>
                        </a:graphicData>
                      </a:graphic>
                    </wp:anchor>
                  </w:drawing>
                </mc:Fallback>
              </mc:AlternateContent>
            </w:r>
          </w:p>
        </w:tc>
        <w:tc>
          <w:tcPr>
            <w:tcW w:w="4678" w:type="dxa"/>
            <w:tcBorders>
              <w:top w:val="single" w:sz="4" w:space="0" w:color="000000"/>
              <w:left w:val="single" w:sz="4" w:space="0" w:color="000000"/>
              <w:bottom w:val="single" w:sz="4" w:space="0" w:color="000000"/>
              <w:right w:val="single" w:sz="4" w:space="0" w:color="000000"/>
            </w:tcBorders>
            <w:vAlign w:val="center"/>
          </w:tcPr>
          <w:p w14:paraId="687730FE" w14:textId="77777777" w:rsidR="00FC2B78" w:rsidRDefault="00494310">
            <w:pPr>
              <w:widowControl w:val="0"/>
              <w:pBdr>
                <w:top w:val="nil"/>
                <w:left w:val="nil"/>
                <w:bottom w:val="nil"/>
                <w:right w:val="nil"/>
                <w:between w:val="nil"/>
              </w:pBdr>
              <w:spacing w:line="360" w:lineRule="auto"/>
              <w:ind w:right="142" w:hanging="360"/>
              <w:jc w:val="center"/>
              <w:rPr>
                <w:rFonts w:ascii="Arial" w:eastAsia="Arial" w:hAnsi="Arial" w:cs="Arial"/>
                <w:color w:val="000000"/>
              </w:rPr>
            </w:pPr>
            <w:r>
              <w:rPr>
                <w:rFonts w:ascii="Arial" w:eastAsia="Arial" w:hAnsi="Arial" w:cs="Arial"/>
                <w:b/>
                <w:color w:val="000000"/>
              </w:rPr>
              <w:t>Cumplimiento</w:t>
            </w:r>
          </w:p>
          <w:p w14:paraId="3F9F80C7" w14:textId="77777777" w:rsidR="00FC2B78" w:rsidRDefault="00FC2B78">
            <w:pPr>
              <w:spacing w:line="360" w:lineRule="auto"/>
              <w:ind w:right="142"/>
              <w:jc w:val="center"/>
              <w:rPr>
                <w:rFonts w:ascii="Arial" w:eastAsia="Arial" w:hAnsi="Arial" w:cs="Arial"/>
              </w:rPr>
            </w:pPr>
          </w:p>
          <w:p w14:paraId="651C1979" w14:textId="77777777" w:rsidR="00FC2B78" w:rsidRDefault="00494310">
            <w:pPr>
              <w:widowControl w:val="0"/>
              <w:pBdr>
                <w:top w:val="nil"/>
                <w:left w:val="nil"/>
                <w:bottom w:val="nil"/>
                <w:right w:val="nil"/>
                <w:between w:val="nil"/>
              </w:pBdr>
              <w:spacing w:line="360" w:lineRule="auto"/>
              <w:ind w:right="142" w:hanging="360"/>
              <w:jc w:val="center"/>
              <w:rPr>
                <w:rFonts w:ascii="Arial" w:eastAsia="Arial" w:hAnsi="Arial" w:cs="Arial"/>
                <w:color w:val="000000"/>
              </w:rPr>
            </w:pPr>
            <w:r>
              <w:rPr>
                <w:rFonts w:ascii="Arial" w:eastAsia="Arial" w:hAnsi="Arial" w:cs="Arial"/>
                <w:color w:val="000000"/>
              </w:rPr>
              <w:t># De actividades realizadas   x100</w:t>
            </w:r>
          </w:p>
          <w:p w14:paraId="020A263B" w14:textId="77777777" w:rsidR="00FC2B78" w:rsidRDefault="00494310">
            <w:pPr>
              <w:pStyle w:val="Ttulo1"/>
              <w:tabs>
                <w:tab w:val="left" w:pos="284"/>
                <w:tab w:val="left" w:pos="1562"/>
              </w:tabs>
              <w:spacing w:line="360" w:lineRule="auto"/>
              <w:ind w:left="0" w:right="142" w:firstLine="0"/>
              <w:jc w:val="center"/>
              <w:outlineLvl w:val="0"/>
            </w:pPr>
            <w:r>
              <w:rPr>
                <w:b w:val="0"/>
              </w:rPr>
              <w:t># De actividades programadas</w:t>
            </w:r>
            <w:r>
              <w:rPr>
                <w:noProof/>
                <w:lang w:val="es-CO"/>
              </w:rPr>
              <mc:AlternateContent>
                <mc:Choice Requires="wps">
                  <w:drawing>
                    <wp:anchor distT="0" distB="0" distL="114300" distR="114300" simplePos="0" relativeHeight="251661312" behindDoc="0" locked="0" layoutInCell="1" hidden="0" allowOverlap="1" wp14:anchorId="50B1D229" wp14:editId="50D85FA9">
                      <wp:simplePos x="0" y="0"/>
                      <wp:positionH relativeFrom="column">
                        <wp:posOffset>444500</wp:posOffset>
                      </wp:positionH>
                      <wp:positionV relativeFrom="paragraph">
                        <wp:posOffset>0</wp:posOffset>
                      </wp:positionV>
                      <wp:extent cx="0" cy="12700"/>
                      <wp:effectExtent l="0" t="0" r="0" b="0"/>
                      <wp:wrapNone/>
                      <wp:docPr id="18" name="Conector recto de flecha 18"/>
                      <wp:cNvGraphicFramePr/>
                      <a:graphic xmlns:a="http://schemas.openxmlformats.org/drawingml/2006/main">
                        <a:graphicData uri="http://schemas.microsoft.com/office/word/2010/wordprocessingShape">
                          <wps:wsp>
                            <wps:cNvCnPr/>
                            <wps:spPr>
                              <a:xfrm>
                                <a:off x="4444935" y="3780000"/>
                                <a:ext cx="18021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0" cy="12700"/>
                      <wp:effectExtent b="0" l="0" r="0" t="0"/>
                      <wp:wrapNone/>
                      <wp:docPr id="18" name="image4.png"/>
                      <a:graphic>
                        <a:graphicData uri="http://schemas.openxmlformats.org/drawingml/2006/picture">
                          <pic:pic>
                            <pic:nvPicPr>
                              <pic:cNvPr id="0" name="image4.png"/>
                              <pic:cNvPicPr preferRelativeResize="0"/>
                            </pic:nvPicPr>
                            <pic:blipFill>
                              <a:blip r:embed="rId28"/>
                              <a:srcRect/>
                              <a:stretch>
                                <a:fillRect/>
                              </a:stretch>
                            </pic:blipFill>
                            <pic:spPr>
                              <a:xfrm>
                                <a:off x="0" y="0"/>
                                <a:ext cx="0" cy="12700"/>
                              </a:xfrm>
                              <a:prstGeom prst="rect"/>
                              <a:ln/>
                            </pic:spPr>
                          </pic:pic>
                        </a:graphicData>
                      </a:graphic>
                    </wp:anchor>
                  </w:drawing>
                </mc:Fallback>
              </mc:AlternateContent>
            </w:r>
          </w:p>
        </w:tc>
      </w:tr>
    </w:tbl>
    <w:p w14:paraId="1500A5C8" w14:textId="77777777" w:rsidR="00FC2B78" w:rsidRDefault="00494310">
      <w:pPr>
        <w:widowControl w:val="0"/>
        <w:numPr>
          <w:ilvl w:val="0"/>
          <w:numId w:val="11"/>
        </w:numPr>
        <w:pBdr>
          <w:top w:val="nil"/>
          <w:left w:val="nil"/>
          <w:bottom w:val="nil"/>
          <w:right w:val="nil"/>
          <w:between w:val="nil"/>
        </w:pBdr>
        <w:spacing w:after="0" w:line="360" w:lineRule="auto"/>
        <w:rPr>
          <w:rFonts w:ascii="Arial" w:eastAsia="Arial" w:hAnsi="Arial" w:cs="Arial"/>
          <w:b/>
          <w:color w:val="000000"/>
          <w:sz w:val="24"/>
          <w:szCs w:val="24"/>
        </w:rPr>
      </w:pPr>
      <w:bookmarkStart w:id="1" w:name="_heading=h.gjdgxs" w:colFirst="0" w:colLast="0"/>
      <w:bookmarkEnd w:id="1"/>
      <w:r>
        <w:rPr>
          <w:rFonts w:ascii="Arial" w:eastAsia="Arial" w:hAnsi="Arial" w:cs="Arial"/>
          <w:b/>
          <w:color w:val="000000"/>
          <w:sz w:val="24"/>
          <w:szCs w:val="24"/>
        </w:rPr>
        <w:t>REGISTROS</w:t>
      </w:r>
    </w:p>
    <w:p w14:paraId="54E4A094" w14:textId="77777777" w:rsidR="00FC2B78" w:rsidRDefault="00FC2B78">
      <w:pPr>
        <w:widowControl w:val="0"/>
        <w:pBdr>
          <w:top w:val="nil"/>
          <w:left w:val="nil"/>
          <w:bottom w:val="nil"/>
          <w:right w:val="nil"/>
          <w:between w:val="nil"/>
        </w:pBdr>
        <w:tabs>
          <w:tab w:val="left" w:pos="284"/>
        </w:tabs>
        <w:spacing w:after="0" w:line="360" w:lineRule="auto"/>
        <w:ind w:hanging="360"/>
        <w:jc w:val="both"/>
        <w:rPr>
          <w:rFonts w:ascii="Arial" w:eastAsia="Arial" w:hAnsi="Arial" w:cs="Arial"/>
          <w:b/>
          <w:color w:val="000000"/>
          <w:sz w:val="24"/>
          <w:szCs w:val="24"/>
        </w:rPr>
      </w:pPr>
    </w:p>
    <w:p w14:paraId="61F12D13" w14:textId="77777777" w:rsidR="00FC2B78" w:rsidRDefault="00494310">
      <w:pPr>
        <w:tabs>
          <w:tab w:val="left" w:pos="284"/>
        </w:tabs>
        <w:spacing w:line="360" w:lineRule="auto"/>
        <w:jc w:val="both"/>
        <w:rPr>
          <w:rFonts w:ascii="Arial" w:eastAsia="Arial" w:hAnsi="Arial" w:cs="Arial"/>
          <w:sz w:val="24"/>
          <w:szCs w:val="24"/>
        </w:rPr>
      </w:pPr>
      <w:bookmarkStart w:id="2" w:name="_heading=h.30j0zll" w:colFirst="0" w:colLast="0"/>
      <w:bookmarkEnd w:id="2"/>
      <w:r>
        <w:rPr>
          <w:rFonts w:ascii="Arial" w:eastAsia="Arial" w:hAnsi="Arial" w:cs="Arial"/>
          <w:b/>
          <w:sz w:val="24"/>
          <w:szCs w:val="24"/>
        </w:rPr>
        <w:t>FT-SST-043</w:t>
      </w:r>
      <w:r>
        <w:rPr>
          <w:rFonts w:ascii="Arial" w:eastAsia="Arial" w:hAnsi="Arial" w:cs="Arial"/>
          <w:sz w:val="24"/>
          <w:szCs w:val="24"/>
        </w:rPr>
        <w:t xml:space="preserve"> Formato Diagnostico de Condiciones de Salud</w:t>
      </w:r>
    </w:p>
    <w:p w14:paraId="4C234697" w14:textId="7BD14327" w:rsidR="00FC2B78" w:rsidRPr="005378BA" w:rsidRDefault="00494310" w:rsidP="005378BA">
      <w:pPr>
        <w:pStyle w:val="Prrafodelista"/>
        <w:numPr>
          <w:ilvl w:val="0"/>
          <w:numId w:val="14"/>
        </w:numPr>
        <w:tabs>
          <w:tab w:val="left" w:pos="284"/>
        </w:tabs>
        <w:spacing w:line="360" w:lineRule="auto"/>
        <w:jc w:val="both"/>
        <w:rPr>
          <w:sz w:val="24"/>
          <w:szCs w:val="24"/>
        </w:rPr>
      </w:pPr>
      <w:r w:rsidRPr="005378BA">
        <w:rPr>
          <w:sz w:val="24"/>
          <w:szCs w:val="24"/>
        </w:rPr>
        <w:t>Formato Solicitud de Examen Médico</w:t>
      </w:r>
    </w:p>
    <w:p w14:paraId="0057F895" w14:textId="1CA003D6" w:rsidR="00FC2B78" w:rsidRPr="005378BA" w:rsidRDefault="00494310" w:rsidP="005378BA">
      <w:pPr>
        <w:pStyle w:val="Prrafodelista"/>
        <w:numPr>
          <w:ilvl w:val="0"/>
          <w:numId w:val="14"/>
        </w:numPr>
        <w:tabs>
          <w:tab w:val="left" w:pos="284"/>
        </w:tabs>
        <w:spacing w:line="360" w:lineRule="auto"/>
        <w:jc w:val="both"/>
        <w:rPr>
          <w:sz w:val="24"/>
          <w:szCs w:val="24"/>
        </w:rPr>
      </w:pPr>
      <w:r w:rsidRPr="005378BA">
        <w:rPr>
          <w:sz w:val="24"/>
          <w:szCs w:val="24"/>
        </w:rPr>
        <w:t>Formato Seguimiento de Morbimortalidad y Ausentismo Laboral</w:t>
      </w:r>
    </w:p>
    <w:p w14:paraId="49E82AEB" w14:textId="77777777" w:rsidR="00FC2B78" w:rsidRDefault="00FC2B78">
      <w:p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p>
    <w:p w14:paraId="38589EEE" w14:textId="77777777" w:rsidR="005378BA" w:rsidRDefault="005378BA">
      <w:p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p>
    <w:p w14:paraId="3EA9921D" w14:textId="77777777" w:rsidR="005378BA" w:rsidRPr="00396520" w:rsidRDefault="005378BA" w:rsidP="005378BA">
      <w:pPr>
        <w:rPr>
          <w:rFonts w:ascii="Arial" w:eastAsia="Arial" w:hAnsi="Arial" w:cs="Arial"/>
        </w:rPr>
      </w:pPr>
      <w:r w:rsidRPr="00396520">
        <w:rPr>
          <w:rFonts w:ascii="Arial" w:eastAsia="Arial" w:hAnsi="Arial" w:cs="Arial"/>
          <w:b/>
          <w:bCs/>
        </w:rPr>
        <w:lastRenderedPageBreak/>
        <w:t xml:space="preserve">CONTROL DE CAMBIOS </w:t>
      </w:r>
    </w:p>
    <w:p w14:paraId="0A573363" w14:textId="77777777" w:rsidR="005378BA" w:rsidRPr="00396520" w:rsidRDefault="005378BA" w:rsidP="005378BA">
      <w:pPr>
        <w:pStyle w:val="Prrafodelista"/>
        <w:ind w:left="720" w:firstLine="0"/>
        <w:rPr>
          <w:lang w:val="es-CO"/>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5378BA" w:rsidRPr="00FB0AA7" w14:paraId="1684315F" w14:textId="77777777" w:rsidTr="00C975CD">
        <w:trPr>
          <w:trHeight w:val="84"/>
        </w:trPr>
        <w:tc>
          <w:tcPr>
            <w:tcW w:w="8696" w:type="dxa"/>
            <w:gridSpan w:val="4"/>
          </w:tcPr>
          <w:p w14:paraId="4E5B1011" w14:textId="77777777" w:rsidR="005378BA" w:rsidRPr="00FB0AA7" w:rsidRDefault="005378BA" w:rsidP="00C975CD">
            <w:pPr>
              <w:jc w:val="center"/>
              <w:rPr>
                <w:rFonts w:ascii="Arial" w:eastAsia="Arial" w:hAnsi="Arial" w:cs="Arial"/>
              </w:rPr>
            </w:pPr>
            <w:r>
              <w:rPr>
                <w:rFonts w:ascii="Arial" w:eastAsia="Arial" w:hAnsi="Arial" w:cs="Arial"/>
              </w:rPr>
              <w:t>CONTROL DE CAMBIOS</w:t>
            </w:r>
          </w:p>
        </w:tc>
      </w:tr>
      <w:tr w:rsidR="005378BA" w:rsidRPr="00FB0AA7" w14:paraId="7F60B294" w14:textId="77777777" w:rsidTr="00C975CD">
        <w:trPr>
          <w:trHeight w:val="187"/>
        </w:trPr>
        <w:tc>
          <w:tcPr>
            <w:tcW w:w="2174" w:type="dxa"/>
          </w:tcPr>
          <w:p w14:paraId="6866D124" w14:textId="77777777" w:rsidR="005378BA" w:rsidRPr="00FB0AA7" w:rsidRDefault="005378BA" w:rsidP="00C975CD">
            <w:pPr>
              <w:jc w:val="center"/>
              <w:rPr>
                <w:rFonts w:ascii="Arial" w:eastAsia="Arial" w:hAnsi="Arial" w:cs="Arial"/>
              </w:rPr>
            </w:pPr>
            <w:r w:rsidRPr="00FB0AA7">
              <w:rPr>
                <w:rFonts w:ascii="Arial" w:eastAsia="Arial" w:hAnsi="Arial" w:cs="Arial"/>
              </w:rPr>
              <w:t xml:space="preserve">VERSION </w:t>
            </w:r>
          </w:p>
        </w:tc>
        <w:tc>
          <w:tcPr>
            <w:tcW w:w="2174" w:type="dxa"/>
          </w:tcPr>
          <w:p w14:paraId="4B7244CB" w14:textId="77777777" w:rsidR="005378BA" w:rsidRPr="00FB0AA7" w:rsidRDefault="005378BA" w:rsidP="00C975CD">
            <w:pPr>
              <w:jc w:val="center"/>
              <w:rPr>
                <w:rFonts w:ascii="Arial" w:eastAsia="Arial" w:hAnsi="Arial" w:cs="Arial"/>
              </w:rPr>
            </w:pPr>
            <w:r w:rsidRPr="00FB0AA7">
              <w:rPr>
                <w:rFonts w:ascii="Arial" w:eastAsia="Arial" w:hAnsi="Arial" w:cs="Arial"/>
              </w:rPr>
              <w:t xml:space="preserve">FECHA </w:t>
            </w:r>
          </w:p>
        </w:tc>
        <w:tc>
          <w:tcPr>
            <w:tcW w:w="2174" w:type="dxa"/>
          </w:tcPr>
          <w:p w14:paraId="79C5FD1B" w14:textId="77777777" w:rsidR="005378BA" w:rsidRPr="00FB0AA7" w:rsidRDefault="005378BA" w:rsidP="00C975CD">
            <w:pPr>
              <w:jc w:val="center"/>
              <w:rPr>
                <w:rFonts w:ascii="Arial" w:eastAsia="Arial" w:hAnsi="Arial" w:cs="Arial"/>
              </w:rPr>
            </w:pPr>
            <w:r w:rsidRPr="00FB0AA7">
              <w:rPr>
                <w:rFonts w:ascii="Arial" w:eastAsia="Arial" w:hAnsi="Arial" w:cs="Arial"/>
              </w:rPr>
              <w:t xml:space="preserve">DESCRIPCION DEL CAMBIO </w:t>
            </w:r>
          </w:p>
        </w:tc>
        <w:tc>
          <w:tcPr>
            <w:tcW w:w="2174" w:type="dxa"/>
          </w:tcPr>
          <w:p w14:paraId="3B8BDB16" w14:textId="77777777" w:rsidR="005378BA" w:rsidRPr="00FB0AA7" w:rsidRDefault="005378BA" w:rsidP="00C975CD">
            <w:pPr>
              <w:jc w:val="center"/>
              <w:rPr>
                <w:rFonts w:ascii="Arial" w:eastAsia="Arial" w:hAnsi="Arial" w:cs="Arial"/>
              </w:rPr>
            </w:pPr>
            <w:r w:rsidRPr="00FB0AA7">
              <w:rPr>
                <w:rFonts w:ascii="Arial" w:eastAsia="Arial" w:hAnsi="Arial" w:cs="Arial"/>
              </w:rPr>
              <w:t xml:space="preserve">RESPONSABLE APROBACION </w:t>
            </w:r>
          </w:p>
        </w:tc>
      </w:tr>
      <w:tr w:rsidR="005378BA" w:rsidRPr="00FB0AA7" w14:paraId="5079F301" w14:textId="77777777" w:rsidTr="00C975CD">
        <w:trPr>
          <w:trHeight w:val="187"/>
        </w:trPr>
        <w:tc>
          <w:tcPr>
            <w:tcW w:w="2174" w:type="dxa"/>
          </w:tcPr>
          <w:p w14:paraId="3BAFE4EE" w14:textId="77777777" w:rsidR="005378BA" w:rsidRPr="00FB0AA7" w:rsidRDefault="005378BA" w:rsidP="00C975CD">
            <w:pPr>
              <w:jc w:val="center"/>
              <w:rPr>
                <w:rFonts w:ascii="Arial" w:eastAsia="Arial" w:hAnsi="Arial" w:cs="Arial"/>
              </w:rPr>
            </w:pPr>
          </w:p>
        </w:tc>
        <w:tc>
          <w:tcPr>
            <w:tcW w:w="2174" w:type="dxa"/>
          </w:tcPr>
          <w:p w14:paraId="65EE6064" w14:textId="77777777" w:rsidR="005378BA" w:rsidRPr="00FB0AA7" w:rsidRDefault="005378BA" w:rsidP="00C975CD">
            <w:pPr>
              <w:jc w:val="center"/>
              <w:rPr>
                <w:rFonts w:ascii="Arial" w:eastAsia="Arial" w:hAnsi="Arial" w:cs="Arial"/>
              </w:rPr>
            </w:pPr>
          </w:p>
        </w:tc>
        <w:tc>
          <w:tcPr>
            <w:tcW w:w="2174" w:type="dxa"/>
          </w:tcPr>
          <w:p w14:paraId="04F4C5AE" w14:textId="77777777" w:rsidR="005378BA" w:rsidRPr="00FB0AA7" w:rsidRDefault="005378BA" w:rsidP="00C975CD">
            <w:pPr>
              <w:jc w:val="center"/>
              <w:rPr>
                <w:rFonts w:ascii="Arial" w:eastAsia="Arial" w:hAnsi="Arial" w:cs="Arial"/>
              </w:rPr>
            </w:pPr>
          </w:p>
        </w:tc>
        <w:tc>
          <w:tcPr>
            <w:tcW w:w="2174" w:type="dxa"/>
          </w:tcPr>
          <w:p w14:paraId="3D506686" w14:textId="77777777" w:rsidR="005378BA" w:rsidRPr="00FB0AA7" w:rsidRDefault="005378BA" w:rsidP="00C975CD">
            <w:pPr>
              <w:jc w:val="center"/>
              <w:rPr>
                <w:rFonts w:ascii="Arial" w:eastAsia="Arial" w:hAnsi="Arial" w:cs="Arial"/>
              </w:rPr>
            </w:pPr>
          </w:p>
        </w:tc>
      </w:tr>
    </w:tbl>
    <w:p w14:paraId="716C3C69" w14:textId="77777777" w:rsidR="005378BA" w:rsidRPr="00396520" w:rsidRDefault="005378BA" w:rsidP="005378BA">
      <w:pPr>
        <w:pStyle w:val="Prrafodelista"/>
        <w:ind w:left="720" w:firstLine="0"/>
      </w:pPr>
    </w:p>
    <w:p w14:paraId="04C96EBA" w14:textId="77777777" w:rsidR="005378BA" w:rsidRDefault="005378BA">
      <w:pPr>
        <w:pBdr>
          <w:top w:val="nil"/>
          <w:left w:val="nil"/>
          <w:bottom w:val="nil"/>
          <w:right w:val="nil"/>
          <w:between w:val="nil"/>
        </w:pBdr>
        <w:tabs>
          <w:tab w:val="left" w:pos="284"/>
        </w:tabs>
        <w:spacing w:after="0" w:line="360" w:lineRule="auto"/>
        <w:ind w:right="142"/>
        <w:jc w:val="both"/>
        <w:rPr>
          <w:rFonts w:ascii="Arial" w:eastAsia="Arial" w:hAnsi="Arial" w:cs="Arial"/>
          <w:b/>
          <w:color w:val="000000"/>
          <w:sz w:val="24"/>
          <w:szCs w:val="24"/>
        </w:rPr>
      </w:pPr>
    </w:p>
    <w:sectPr w:rsidR="005378BA">
      <w:headerReference w:type="default" r:id="rId29"/>
      <w:footerReference w:type="default" r:id="rId3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D3FD" w14:textId="77777777" w:rsidR="003B64E3" w:rsidRDefault="003B64E3">
      <w:pPr>
        <w:spacing w:after="0" w:line="240" w:lineRule="auto"/>
      </w:pPr>
      <w:r>
        <w:separator/>
      </w:r>
    </w:p>
  </w:endnote>
  <w:endnote w:type="continuationSeparator" w:id="0">
    <w:p w14:paraId="24B56A59" w14:textId="77777777" w:rsidR="003B64E3" w:rsidRDefault="003B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embedRegular r:id="rId1" w:fontKey="{EA9F1F90-AC0B-4B92-A82D-1F755E24FDF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2" w:fontKey="{16153121-38CB-4C50-BBF4-7F9A1B3846CB}"/>
    <w:embedBold r:id="rId3" w:fontKey="{96634B4C-23D1-41DD-B987-F40EEAC4B1B6}"/>
    <w:embedBoldItalic r:id="rId4" w:fontKey="{AAAC75F5-CC0D-45E7-B4B4-8C210A996CA9}"/>
  </w:font>
  <w:font w:name="Cambria">
    <w:panose1 w:val="02040503050406030204"/>
    <w:charset w:val="00"/>
    <w:family w:val="roman"/>
    <w:pitch w:val="variable"/>
    <w:sig w:usb0="E00002FF" w:usb1="400004FF" w:usb2="00000000" w:usb3="00000000" w:csb0="0000019F" w:csb1="00000000"/>
    <w:embedRegular r:id="rId5" w:fontKey="{EDDBBFFA-7393-41F7-A77C-A95CDA2A96E5}"/>
    <w:embedBold r:id="rId6" w:fontKey="{310CA4A8-FA57-47B3-81FE-0E74DC7DF1DA}"/>
  </w:font>
  <w:font w:name="Tahoma">
    <w:panose1 w:val="020B0604030504040204"/>
    <w:charset w:val="00"/>
    <w:family w:val="swiss"/>
    <w:pitch w:val="variable"/>
    <w:sig w:usb0="E1002EFF" w:usb1="C000605B" w:usb2="00000029" w:usb3="00000000" w:csb0="000101FF" w:csb1="00000000"/>
    <w:embedRegular r:id="rId7" w:fontKey="{B87BD395-5745-4892-B5CD-BA6D0E1A3858}"/>
  </w:font>
  <w:font w:name="Georgia">
    <w:panose1 w:val="02040502050405020303"/>
    <w:charset w:val="00"/>
    <w:family w:val="roman"/>
    <w:pitch w:val="variable"/>
    <w:sig w:usb0="00000287" w:usb1="00000000" w:usb2="00000000" w:usb3="00000000" w:csb0="0000009F" w:csb1="00000000"/>
    <w:embedRegular r:id="rId8" w:fontKey="{8057BC85-7DBF-479C-B9EA-7C9DB0D3D2D9}"/>
    <w:embedItalic r:id="rId9" w:fontKey="{31B193D6-4C52-4444-8352-B3482DE8533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65026" w14:textId="5821041A" w:rsidR="00FC2B78" w:rsidRDefault="00195A1D">
    <w:pPr>
      <w:widowControl w:val="0"/>
      <w:pBdr>
        <w:top w:val="nil"/>
        <w:left w:val="nil"/>
        <w:bottom w:val="nil"/>
        <w:right w:val="nil"/>
        <w:between w:val="nil"/>
      </w:pBdr>
      <w:spacing w:after="0"/>
      <w:rPr>
        <w:color w:val="000000"/>
      </w:rPr>
    </w:pPr>
    <w:r>
      <w:rPr>
        <w:noProof/>
        <w:color w:val="000000"/>
      </w:rPr>
      <w:drawing>
        <wp:anchor distT="0" distB="0" distL="114300" distR="114300" simplePos="0" relativeHeight="251662336" behindDoc="1" locked="0" layoutInCell="1" allowOverlap="1" wp14:anchorId="1DB36196" wp14:editId="1BA417EF">
          <wp:simplePos x="0" y="0"/>
          <wp:positionH relativeFrom="column">
            <wp:posOffset>-880110</wp:posOffset>
          </wp:positionH>
          <wp:positionV relativeFrom="paragraph">
            <wp:posOffset>-344805</wp:posOffset>
          </wp:positionV>
          <wp:extent cx="3206750" cy="2322830"/>
          <wp:effectExtent l="0" t="0" r="0" b="1270"/>
          <wp:wrapNone/>
          <wp:docPr id="21337540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1312" behindDoc="1" locked="0" layoutInCell="1" allowOverlap="1" wp14:anchorId="661853AB" wp14:editId="77F0F8E7">
          <wp:simplePos x="0" y="0"/>
          <wp:positionH relativeFrom="column">
            <wp:posOffset>2215515</wp:posOffset>
          </wp:positionH>
          <wp:positionV relativeFrom="paragraph">
            <wp:posOffset>69850</wp:posOffset>
          </wp:positionV>
          <wp:extent cx="1704975" cy="1154439"/>
          <wp:effectExtent l="0" t="0" r="0" b="0"/>
          <wp:wrapNone/>
          <wp:docPr id="14745044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975" cy="1154439"/>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5378BA" w:rsidRPr="00396520" w14:paraId="60031337" w14:textId="77777777" w:rsidTr="00195A1D">
      <w:trPr>
        <w:trHeight w:val="84"/>
      </w:trPr>
      <w:tc>
        <w:tcPr>
          <w:tcW w:w="3510" w:type="dxa"/>
        </w:tcPr>
        <w:p w14:paraId="7AC72033" w14:textId="3F996F7E"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ELABORÓ</w:t>
          </w:r>
        </w:p>
      </w:tc>
      <w:tc>
        <w:tcPr>
          <w:tcW w:w="2727" w:type="dxa"/>
        </w:tcPr>
        <w:p w14:paraId="442B3119" w14:textId="17D9F319"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REVISÓ</w:t>
          </w:r>
        </w:p>
      </w:tc>
      <w:tc>
        <w:tcPr>
          <w:tcW w:w="2802" w:type="dxa"/>
        </w:tcPr>
        <w:p w14:paraId="48076D90" w14:textId="77777777"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APROBÓ</w:t>
          </w:r>
        </w:p>
      </w:tc>
    </w:tr>
    <w:tr w:rsidR="005378BA" w:rsidRPr="00396520" w14:paraId="063B08B1" w14:textId="77777777" w:rsidTr="00195A1D">
      <w:trPr>
        <w:trHeight w:val="84"/>
      </w:trPr>
      <w:tc>
        <w:tcPr>
          <w:tcW w:w="3510" w:type="dxa"/>
        </w:tcPr>
        <w:p w14:paraId="71050004" w14:textId="4A66E937"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ROSSE</w:t>
          </w:r>
          <w:r w:rsidR="00195A1D">
            <w:rPr>
              <w:color w:val="000000"/>
              <w:lang w:val="es-CO"/>
            </w:rPr>
            <w:t xml:space="preserve"> MARY</w:t>
          </w:r>
          <w:r w:rsidRPr="00396520">
            <w:rPr>
              <w:color w:val="000000"/>
              <w:lang w:val="es-CO"/>
            </w:rPr>
            <w:t xml:space="preserve"> ECHEVERRY</w:t>
          </w:r>
        </w:p>
      </w:tc>
      <w:tc>
        <w:tcPr>
          <w:tcW w:w="2727" w:type="dxa"/>
        </w:tcPr>
        <w:p w14:paraId="67DE8DE4" w14:textId="237F31EF" w:rsidR="005378BA" w:rsidRPr="00396520" w:rsidRDefault="00195A1D" w:rsidP="005378BA">
          <w:pPr>
            <w:pBdr>
              <w:top w:val="nil"/>
              <w:left w:val="nil"/>
              <w:bottom w:val="nil"/>
              <w:right w:val="nil"/>
              <w:between w:val="nil"/>
            </w:pBdr>
            <w:tabs>
              <w:tab w:val="center" w:pos="4419"/>
              <w:tab w:val="right" w:pos="8838"/>
            </w:tabs>
            <w:jc w:val="center"/>
            <w:rPr>
              <w:color w:val="000000"/>
              <w:lang w:val="es-CO"/>
            </w:rPr>
          </w:pPr>
          <w:r>
            <w:rPr>
              <w:color w:val="000000"/>
              <w:lang w:val="es-CO"/>
            </w:rPr>
            <w:t xml:space="preserve">ROSSE MARY ECHEVERRY </w:t>
          </w:r>
        </w:p>
      </w:tc>
      <w:tc>
        <w:tcPr>
          <w:tcW w:w="2802" w:type="dxa"/>
        </w:tcPr>
        <w:p w14:paraId="5FF64828" w14:textId="33202174" w:rsidR="005378BA" w:rsidRPr="00396520" w:rsidRDefault="00195A1D" w:rsidP="005378BA">
          <w:pPr>
            <w:pBdr>
              <w:top w:val="nil"/>
              <w:left w:val="nil"/>
              <w:bottom w:val="nil"/>
              <w:right w:val="nil"/>
              <w:between w:val="nil"/>
            </w:pBdr>
            <w:tabs>
              <w:tab w:val="center" w:pos="4419"/>
              <w:tab w:val="right" w:pos="8838"/>
            </w:tabs>
            <w:jc w:val="center"/>
            <w:rPr>
              <w:color w:val="000000"/>
              <w:lang w:val="es-CO"/>
            </w:rPr>
          </w:pPr>
          <w:r>
            <w:rPr>
              <w:color w:val="000000"/>
              <w:lang w:val="es-CO"/>
            </w:rPr>
            <w:t>JULIANA SINNING CIODARO</w:t>
          </w:r>
        </w:p>
      </w:tc>
    </w:tr>
    <w:tr w:rsidR="005378BA" w:rsidRPr="00396520" w14:paraId="76C33736" w14:textId="77777777" w:rsidTr="00195A1D">
      <w:trPr>
        <w:trHeight w:val="84"/>
      </w:trPr>
      <w:tc>
        <w:tcPr>
          <w:tcW w:w="3510" w:type="dxa"/>
        </w:tcPr>
        <w:p w14:paraId="21C91FD5" w14:textId="26036D40"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rPr>
            <w:t>PROF. UNIVERSITARIO S.S. T</w:t>
          </w:r>
        </w:p>
      </w:tc>
      <w:tc>
        <w:tcPr>
          <w:tcW w:w="2727" w:type="dxa"/>
        </w:tcPr>
        <w:p w14:paraId="3BD6E454" w14:textId="6D462BE7" w:rsidR="005378BA" w:rsidRPr="00396520" w:rsidRDefault="00195A1D" w:rsidP="005378BA">
          <w:pPr>
            <w:pBdr>
              <w:top w:val="nil"/>
              <w:left w:val="nil"/>
              <w:bottom w:val="nil"/>
              <w:right w:val="nil"/>
              <w:between w:val="nil"/>
            </w:pBdr>
            <w:tabs>
              <w:tab w:val="center" w:pos="4419"/>
              <w:tab w:val="right" w:pos="8838"/>
            </w:tabs>
            <w:jc w:val="center"/>
            <w:rPr>
              <w:color w:val="000000"/>
              <w:lang w:val="es-CO"/>
            </w:rPr>
          </w:pPr>
          <w:r>
            <w:rPr>
              <w:color w:val="000000"/>
              <w:lang w:val="es-CO"/>
            </w:rPr>
            <w:t>PROF. UNIVERSITARIO S.S.T</w:t>
          </w:r>
        </w:p>
      </w:tc>
      <w:tc>
        <w:tcPr>
          <w:tcW w:w="2802" w:type="dxa"/>
        </w:tcPr>
        <w:p w14:paraId="3E023BF7" w14:textId="17CF04E6" w:rsidR="005378BA" w:rsidRPr="00396520" w:rsidRDefault="00195A1D" w:rsidP="005378BA">
          <w:pPr>
            <w:pBdr>
              <w:top w:val="nil"/>
              <w:left w:val="nil"/>
              <w:bottom w:val="nil"/>
              <w:right w:val="nil"/>
              <w:between w:val="nil"/>
            </w:pBdr>
            <w:tabs>
              <w:tab w:val="center" w:pos="4419"/>
              <w:tab w:val="right" w:pos="8838"/>
            </w:tabs>
            <w:jc w:val="center"/>
            <w:rPr>
              <w:color w:val="000000"/>
              <w:lang w:val="es-CO"/>
            </w:rPr>
          </w:pPr>
          <w:r>
            <w:rPr>
              <w:color w:val="000000"/>
              <w:lang w:val="es-CO"/>
            </w:rPr>
            <w:t>DIRECTOR ADMINISTRATIVO</w:t>
          </w:r>
        </w:p>
      </w:tc>
    </w:tr>
    <w:tr w:rsidR="005378BA" w:rsidRPr="00396520" w14:paraId="420B359F" w14:textId="77777777" w:rsidTr="00195A1D">
      <w:trPr>
        <w:trHeight w:val="84"/>
      </w:trPr>
      <w:tc>
        <w:tcPr>
          <w:tcW w:w="3510" w:type="dxa"/>
        </w:tcPr>
        <w:p w14:paraId="3A2A1392" w14:textId="7839AFFA"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p>
      </w:tc>
      <w:tc>
        <w:tcPr>
          <w:tcW w:w="2727" w:type="dxa"/>
        </w:tcPr>
        <w:p w14:paraId="7B3D92BD" w14:textId="631F6D15"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p>
      </w:tc>
      <w:tc>
        <w:tcPr>
          <w:tcW w:w="2802" w:type="dxa"/>
        </w:tcPr>
        <w:p w14:paraId="0433608A" w14:textId="77777777" w:rsidR="005378BA" w:rsidRPr="00396520" w:rsidRDefault="005378BA" w:rsidP="005378BA">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FIRMA</w:t>
          </w:r>
        </w:p>
      </w:tc>
    </w:tr>
  </w:tbl>
  <w:p w14:paraId="65F30141" w14:textId="77777777" w:rsidR="00FC2B78" w:rsidRDefault="00FC2B7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B7A11" w14:textId="77777777" w:rsidR="003B64E3" w:rsidRDefault="003B64E3">
      <w:pPr>
        <w:spacing w:after="0" w:line="240" w:lineRule="auto"/>
      </w:pPr>
      <w:r>
        <w:separator/>
      </w:r>
    </w:p>
  </w:footnote>
  <w:footnote w:type="continuationSeparator" w:id="0">
    <w:p w14:paraId="44A495F3" w14:textId="77777777" w:rsidR="003B64E3" w:rsidRDefault="003B6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022705" w:rsidRPr="00E67355" w14:paraId="5453DD4A" w14:textId="77777777" w:rsidTr="00F92C9B">
      <w:trPr>
        <w:trHeight w:val="699"/>
      </w:trPr>
      <w:tc>
        <w:tcPr>
          <w:tcW w:w="2082" w:type="dxa"/>
          <w:vMerge w:val="restart"/>
          <w:shd w:val="clear" w:color="auto" w:fill="auto"/>
          <w:vAlign w:val="center"/>
        </w:tcPr>
        <w:p w14:paraId="300B26B3" w14:textId="77777777" w:rsidR="00022705" w:rsidRPr="006F4945" w:rsidRDefault="00022705" w:rsidP="00022705">
          <w:pPr>
            <w:tabs>
              <w:tab w:val="center" w:pos="4419"/>
              <w:tab w:val="right" w:pos="8838"/>
            </w:tabs>
            <w:spacing w:after="0" w:line="240" w:lineRule="auto"/>
            <w:jc w:val="center"/>
            <w:rPr>
              <w:b/>
              <w:i/>
            </w:rPr>
          </w:pPr>
          <w:r>
            <w:rPr>
              <w:noProof/>
            </w:rPr>
            <w:drawing>
              <wp:inline distT="0" distB="0" distL="0" distR="0" wp14:anchorId="2A8DD431" wp14:editId="1E122A1A">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36D8637D" w14:textId="77777777" w:rsidR="00022705" w:rsidRPr="00E67355" w:rsidRDefault="00022705" w:rsidP="00022705">
          <w:pPr>
            <w:snapToGrid w:val="0"/>
            <w:spacing w:after="0" w:line="240" w:lineRule="auto"/>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266D90AC" w14:textId="77777777" w:rsidR="00022705" w:rsidRPr="00E67355" w:rsidRDefault="00022705" w:rsidP="00022705">
          <w:pPr>
            <w:snapToGrid w:val="0"/>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FP-BIS-SST-FO-29</w:t>
          </w:r>
        </w:p>
      </w:tc>
    </w:tr>
    <w:tr w:rsidR="00022705" w:rsidRPr="00E67355" w14:paraId="26D737BD" w14:textId="77777777" w:rsidTr="00F92C9B">
      <w:tblPrEx>
        <w:tblCellMar>
          <w:left w:w="108" w:type="dxa"/>
          <w:right w:w="108" w:type="dxa"/>
        </w:tblCellMar>
      </w:tblPrEx>
      <w:trPr>
        <w:trHeight w:hRule="exact" w:val="755"/>
      </w:trPr>
      <w:tc>
        <w:tcPr>
          <w:tcW w:w="2082" w:type="dxa"/>
          <w:vMerge/>
          <w:shd w:val="clear" w:color="auto" w:fill="auto"/>
        </w:tcPr>
        <w:p w14:paraId="305D52AD" w14:textId="77777777" w:rsidR="00022705" w:rsidRPr="006F4945" w:rsidRDefault="00022705" w:rsidP="00022705">
          <w:pPr>
            <w:tabs>
              <w:tab w:val="center" w:pos="4419"/>
              <w:tab w:val="right" w:pos="8838"/>
            </w:tabs>
            <w:spacing w:after="0" w:line="240" w:lineRule="auto"/>
            <w:jc w:val="center"/>
            <w:rPr>
              <w:b/>
              <w:i/>
            </w:rPr>
          </w:pPr>
        </w:p>
      </w:tc>
      <w:tc>
        <w:tcPr>
          <w:tcW w:w="5710" w:type="dxa"/>
          <w:shd w:val="clear" w:color="auto" w:fill="D9D9D9" w:themeFill="background1" w:themeFillShade="D9"/>
          <w:vAlign w:val="center"/>
        </w:tcPr>
        <w:p w14:paraId="073974D1" w14:textId="77777777" w:rsidR="00022705" w:rsidRPr="00E67355" w:rsidRDefault="00022705" w:rsidP="00022705">
          <w:pPr>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424331B8" w14:textId="77777777" w:rsidR="00022705" w:rsidRPr="00E67355" w:rsidRDefault="00022705" w:rsidP="00022705">
          <w:pPr>
            <w:snapToGrid w:val="0"/>
            <w:jc w:val="center"/>
            <w:rPr>
              <w:rFonts w:ascii="Arial" w:hAnsi="Arial" w:cs="Arial"/>
              <w:b/>
              <w:iCs/>
              <w:sz w:val="24"/>
              <w:szCs w:val="24"/>
            </w:rPr>
          </w:pPr>
          <w:r w:rsidRPr="00E67355">
            <w:rPr>
              <w:rFonts w:ascii="Arial" w:hAnsi="Arial" w:cs="Arial"/>
              <w:b/>
              <w:iCs/>
              <w:sz w:val="24"/>
              <w:szCs w:val="24"/>
            </w:rPr>
            <w:t>VERSIÓN: 01</w:t>
          </w:r>
        </w:p>
      </w:tc>
    </w:tr>
    <w:tr w:rsidR="00022705" w:rsidRPr="00E67355" w14:paraId="3749F020" w14:textId="77777777" w:rsidTr="00F92C9B">
      <w:tblPrEx>
        <w:tblCellMar>
          <w:left w:w="108" w:type="dxa"/>
          <w:right w:w="108" w:type="dxa"/>
        </w:tblCellMar>
      </w:tblPrEx>
      <w:trPr>
        <w:trHeight w:hRule="exact" w:val="811"/>
      </w:trPr>
      <w:tc>
        <w:tcPr>
          <w:tcW w:w="2082" w:type="dxa"/>
          <w:vMerge/>
          <w:shd w:val="clear" w:color="auto" w:fill="auto"/>
        </w:tcPr>
        <w:p w14:paraId="2982039C" w14:textId="77777777" w:rsidR="00022705" w:rsidRPr="006F4945" w:rsidRDefault="00022705" w:rsidP="00022705">
          <w:pPr>
            <w:snapToGrid w:val="0"/>
            <w:jc w:val="both"/>
            <w:rPr>
              <w:rFonts w:ascii="Arial" w:hAnsi="Arial" w:cs="Arial"/>
              <w:b/>
              <w:i/>
            </w:rPr>
          </w:pPr>
        </w:p>
      </w:tc>
      <w:tc>
        <w:tcPr>
          <w:tcW w:w="5710" w:type="dxa"/>
          <w:shd w:val="clear" w:color="auto" w:fill="D9D9D9" w:themeFill="background1" w:themeFillShade="D9"/>
          <w:vAlign w:val="center"/>
        </w:tcPr>
        <w:p w14:paraId="7BD1491E" w14:textId="77777777" w:rsidR="00022705" w:rsidRPr="00E67355" w:rsidRDefault="00022705" w:rsidP="00022705">
          <w:pPr>
            <w:snapToGrid w:val="0"/>
            <w:spacing w:after="0" w:line="240" w:lineRule="auto"/>
            <w:jc w:val="center"/>
            <w:rPr>
              <w:rFonts w:ascii="Arial" w:hAnsi="Arial" w:cs="Arial"/>
              <w:b/>
              <w:iCs/>
              <w:sz w:val="24"/>
              <w:szCs w:val="24"/>
              <w:lang w:val="es-ES" w:eastAsia="es-ES"/>
            </w:rPr>
          </w:pPr>
          <w:r w:rsidRPr="00022705">
            <w:rPr>
              <w:rFonts w:ascii="Arial" w:eastAsia="Arial" w:hAnsi="Arial" w:cs="Arial"/>
              <w:b/>
              <w:sz w:val="24"/>
            </w:rPr>
            <w:t>PROGRAMA VIGILANCIA EPIDEMIOLÓGICA CONSERVACIÓN AUDIOVISUAL</w:t>
          </w:r>
        </w:p>
      </w:tc>
      <w:tc>
        <w:tcPr>
          <w:tcW w:w="3089" w:type="dxa"/>
          <w:shd w:val="clear" w:color="auto" w:fill="D9D9D9" w:themeFill="background1" w:themeFillShade="D9"/>
          <w:vAlign w:val="center"/>
        </w:tcPr>
        <w:p w14:paraId="26EEEEC0" w14:textId="77777777" w:rsidR="00022705" w:rsidRPr="00E67355" w:rsidRDefault="00022705" w:rsidP="00022705">
          <w:pPr>
            <w:snapToGrid w:val="0"/>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4166D7C5" w14:textId="77777777" w:rsidR="00FC2B78" w:rsidRDefault="00FC2B78">
    <w:pPr>
      <w:widowControl w:val="0"/>
      <w:pBdr>
        <w:top w:val="nil"/>
        <w:left w:val="nil"/>
        <w:bottom w:val="nil"/>
        <w:right w:val="nil"/>
        <w:between w:val="nil"/>
      </w:pBdr>
      <w:spacing w:after="0"/>
      <w:rPr>
        <w:rFonts w:ascii="Arial" w:eastAsia="Arial" w:hAnsi="Arial" w:cs="Arial"/>
        <w:b/>
        <w:color w:val="000000"/>
        <w:sz w:val="24"/>
        <w:szCs w:val="24"/>
      </w:rPr>
    </w:pPr>
  </w:p>
  <w:p w14:paraId="5D8B24DB" w14:textId="77777777" w:rsidR="00FC2B78" w:rsidRDefault="00FC2B7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099"/>
    <w:multiLevelType w:val="multilevel"/>
    <w:tmpl w:val="4412E22C"/>
    <w:lvl w:ilvl="0">
      <w:start w:val="6"/>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987D66"/>
    <w:multiLevelType w:val="multilevel"/>
    <w:tmpl w:val="287C7B0A"/>
    <w:lvl w:ilvl="0">
      <w:start w:val="4"/>
      <w:numFmt w:val="decimal"/>
      <w:lvlText w:val="%1."/>
      <w:lvlJc w:val="left"/>
      <w:pPr>
        <w:ind w:left="360" w:hanging="360"/>
      </w:pPr>
    </w:lvl>
    <w:lvl w:ilvl="1">
      <w:start w:val="1"/>
      <w:numFmt w:val="decimal"/>
      <w:lvlText w:val="%1.%2."/>
      <w:lvlJc w:val="left"/>
      <w:pPr>
        <w:ind w:left="170" w:firstLine="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EC12EC"/>
    <w:multiLevelType w:val="multilevel"/>
    <w:tmpl w:val="25243F0E"/>
    <w:lvl w:ilvl="0">
      <w:start w:val="1"/>
      <w:numFmt w:val="bullet"/>
      <w:lvlText w:val="●"/>
      <w:lvlJc w:val="left"/>
      <w:pPr>
        <w:ind w:left="340" w:firstLine="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B53528"/>
    <w:multiLevelType w:val="multilevel"/>
    <w:tmpl w:val="D68A2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B552EB"/>
    <w:multiLevelType w:val="multilevel"/>
    <w:tmpl w:val="6F34BBD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FE2765"/>
    <w:multiLevelType w:val="multilevel"/>
    <w:tmpl w:val="13421596"/>
    <w:lvl w:ilvl="0">
      <w:start w:val="1"/>
      <w:numFmt w:val="bullet"/>
      <w:lvlText w:val="●"/>
      <w:lvlJc w:val="left"/>
      <w:pPr>
        <w:ind w:left="340" w:firstLine="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057ED8"/>
    <w:multiLevelType w:val="multilevel"/>
    <w:tmpl w:val="13E45DA4"/>
    <w:lvl w:ilvl="0">
      <w:start w:val="1"/>
      <w:numFmt w:val="bullet"/>
      <w:lvlText w:val="●"/>
      <w:lvlJc w:val="left"/>
      <w:pPr>
        <w:ind w:left="340" w:firstLine="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B77F8B"/>
    <w:multiLevelType w:val="multilevel"/>
    <w:tmpl w:val="A5E6E298"/>
    <w:lvl w:ilvl="0">
      <w:start w:val="7"/>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9FE3DE8"/>
    <w:multiLevelType w:val="multilevel"/>
    <w:tmpl w:val="3BEAF946"/>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375A36AA"/>
    <w:multiLevelType w:val="multilevel"/>
    <w:tmpl w:val="A5C85AA2"/>
    <w:lvl w:ilvl="0">
      <w:start w:val="6"/>
      <w:numFmt w:val="decimal"/>
      <w:lvlText w:val="%1."/>
      <w:lvlJc w:val="left"/>
      <w:pPr>
        <w:ind w:left="0" w:firstLine="0"/>
      </w:pPr>
      <w:rPr>
        <w:b/>
        <w:sz w:val="22"/>
        <w:szCs w:val="22"/>
      </w:rPr>
    </w:lvl>
    <w:lvl w:ilvl="1">
      <w:start w:val="2"/>
      <w:numFmt w:val="decimal"/>
      <w:lvlText w:val="%1.%2."/>
      <w:lvlJc w:val="left"/>
      <w:pPr>
        <w:ind w:left="792" w:hanging="432"/>
      </w:pPr>
      <w:rPr>
        <w:sz w:val="22"/>
        <w:szCs w:val="22"/>
      </w:rPr>
    </w:lvl>
    <w:lvl w:ilvl="2">
      <w:start w:val="1"/>
      <w:numFmt w:val="decimal"/>
      <w:lvlText w:val="%1.%2.%3."/>
      <w:lvlJc w:val="left"/>
      <w:pPr>
        <w:ind w:left="1224" w:hanging="504"/>
      </w:pPr>
      <w:rPr>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2C521A"/>
    <w:multiLevelType w:val="multilevel"/>
    <w:tmpl w:val="D4CAF6CA"/>
    <w:lvl w:ilvl="0">
      <w:start w:val="1"/>
      <w:numFmt w:val="bullet"/>
      <w:lvlText w:val="●"/>
      <w:lvlJc w:val="left"/>
      <w:pPr>
        <w:ind w:left="340" w:firstLine="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E56045"/>
    <w:multiLevelType w:val="multilevel"/>
    <w:tmpl w:val="FF5E64B4"/>
    <w:lvl w:ilvl="0">
      <w:start w:val="3"/>
      <w:numFmt w:val="decimal"/>
      <w:lvlText w:val="%1."/>
      <w:lvlJc w:val="left"/>
      <w:pPr>
        <w:ind w:left="0" w:firstLine="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8E7A3F"/>
    <w:multiLevelType w:val="hybridMultilevel"/>
    <w:tmpl w:val="CDFCBDEE"/>
    <w:lvl w:ilvl="0" w:tplc="2A684AC4">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9C542FF"/>
    <w:multiLevelType w:val="multilevel"/>
    <w:tmpl w:val="D7B61606"/>
    <w:lvl w:ilvl="0">
      <w:start w:val="6"/>
      <w:numFmt w:val="decimal"/>
      <w:lvlText w:val="%1."/>
      <w:lvlJc w:val="left"/>
      <w:pPr>
        <w:ind w:left="360" w:hanging="360"/>
      </w:pPr>
      <w:rPr>
        <w:b/>
      </w:rPr>
    </w:lvl>
    <w:lvl w:ilvl="1">
      <w:start w:val="3"/>
      <w:numFmt w:val="decimal"/>
      <w:lvlText w:val="%1.%2."/>
      <w:lvlJc w:val="left"/>
      <w:pPr>
        <w:ind w:left="170" w:firstLine="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0"/>
  </w:num>
  <w:num w:numId="3">
    <w:abstractNumId w:val="5"/>
  </w:num>
  <w:num w:numId="4">
    <w:abstractNumId w:val="1"/>
  </w:num>
  <w:num w:numId="5">
    <w:abstractNumId w:val="6"/>
  </w:num>
  <w:num w:numId="6">
    <w:abstractNumId w:val="0"/>
  </w:num>
  <w:num w:numId="7">
    <w:abstractNumId w:val="2"/>
  </w:num>
  <w:num w:numId="8">
    <w:abstractNumId w:val="11"/>
  </w:num>
  <w:num w:numId="9">
    <w:abstractNumId w:val="9"/>
  </w:num>
  <w:num w:numId="10">
    <w:abstractNumId w:val="13"/>
  </w:num>
  <w:num w:numId="11">
    <w:abstractNumId w:val="7"/>
  </w:num>
  <w:num w:numId="12">
    <w:abstractNumId w:val="3"/>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78"/>
    <w:rsid w:val="00022705"/>
    <w:rsid w:val="000A61C2"/>
    <w:rsid w:val="00195A1D"/>
    <w:rsid w:val="003B64E3"/>
    <w:rsid w:val="00494310"/>
    <w:rsid w:val="004C21FF"/>
    <w:rsid w:val="005378BA"/>
    <w:rsid w:val="00D30DD2"/>
    <w:rsid w:val="00FC2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4ECBE"/>
  <w15:docId w15:val="{4AD1570D-B587-4DFE-BBEA-4E8AF9D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6E6"/>
  </w:style>
  <w:style w:type="paragraph" w:styleId="Ttulo1">
    <w:name w:val="heading 1"/>
    <w:basedOn w:val="Normal"/>
    <w:link w:val="Ttulo1Car"/>
    <w:uiPriority w:val="9"/>
    <w:qFormat/>
    <w:rsid w:val="008026E6"/>
    <w:pPr>
      <w:widowControl w:val="0"/>
      <w:spacing w:after="0" w:line="240" w:lineRule="auto"/>
      <w:ind w:left="1562" w:hanging="360"/>
      <w:jc w:val="both"/>
      <w:outlineLvl w:val="0"/>
    </w:pPr>
    <w:rPr>
      <w:rFonts w:ascii="Arial" w:eastAsia="Arial" w:hAnsi="Arial" w:cs="Arial"/>
      <w:b/>
      <w:bCs/>
      <w:lang w:val="en-US"/>
    </w:rPr>
  </w:style>
  <w:style w:type="paragraph" w:styleId="Ttulo2">
    <w:name w:val="heading 2"/>
    <w:basedOn w:val="Normal"/>
    <w:next w:val="Normal"/>
    <w:link w:val="Ttulo2Car"/>
    <w:uiPriority w:val="9"/>
    <w:semiHidden/>
    <w:unhideWhenUsed/>
    <w:qFormat/>
    <w:rsid w:val="008026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8026E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1"/>
    <w:rsid w:val="008026E6"/>
    <w:rPr>
      <w:rFonts w:ascii="Arial" w:eastAsia="Arial" w:hAnsi="Arial" w:cs="Arial"/>
      <w:b/>
      <w:bCs/>
      <w:lang w:val="en-US"/>
    </w:rPr>
  </w:style>
  <w:style w:type="character" w:customStyle="1" w:styleId="Ttulo2Car">
    <w:name w:val="Título 2 Car"/>
    <w:basedOn w:val="Fuentedeprrafopredeter"/>
    <w:link w:val="Ttulo2"/>
    <w:uiPriority w:val="9"/>
    <w:semiHidden/>
    <w:rsid w:val="008026E6"/>
    <w:rPr>
      <w:rFonts w:asciiTheme="majorHAnsi" w:eastAsiaTheme="majorEastAsia" w:hAnsiTheme="majorHAnsi" w:cstheme="majorBidi"/>
      <w:b/>
      <w:bCs/>
      <w:color w:val="4F81BD" w:themeColor="accent1"/>
      <w:sz w:val="26"/>
      <w:szCs w:val="26"/>
    </w:rPr>
  </w:style>
  <w:style w:type="character" w:customStyle="1" w:styleId="Ttulo5Car">
    <w:name w:val="Título 5 Car"/>
    <w:basedOn w:val="Fuentedeprrafopredeter"/>
    <w:link w:val="Ttulo5"/>
    <w:uiPriority w:val="9"/>
    <w:semiHidden/>
    <w:rsid w:val="008026E6"/>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uiPriority w:val="1"/>
    <w:qFormat/>
    <w:rsid w:val="008026E6"/>
    <w:pPr>
      <w:widowControl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rsid w:val="008026E6"/>
    <w:rPr>
      <w:rFonts w:ascii="Arial" w:eastAsia="Arial" w:hAnsi="Arial" w:cs="Arial"/>
      <w:lang w:val="en-US"/>
    </w:rPr>
  </w:style>
  <w:style w:type="paragraph" w:styleId="Prrafodelista">
    <w:name w:val="List Paragraph"/>
    <w:basedOn w:val="Normal"/>
    <w:uiPriority w:val="34"/>
    <w:qFormat/>
    <w:rsid w:val="008026E6"/>
    <w:pPr>
      <w:widowControl w:val="0"/>
      <w:spacing w:after="0" w:line="240" w:lineRule="auto"/>
      <w:ind w:left="1562" w:hanging="360"/>
    </w:pPr>
    <w:rPr>
      <w:rFonts w:ascii="Arial" w:eastAsia="Arial" w:hAnsi="Arial" w:cs="Arial"/>
      <w:lang w:val="en-US"/>
    </w:rPr>
  </w:style>
  <w:style w:type="paragraph" w:customStyle="1" w:styleId="TableParagraph">
    <w:name w:val="Table Paragraph"/>
    <w:basedOn w:val="Normal"/>
    <w:uiPriority w:val="1"/>
    <w:qFormat/>
    <w:rsid w:val="008026E6"/>
    <w:pPr>
      <w:widowControl w:val="0"/>
      <w:spacing w:after="0" w:line="240" w:lineRule="auto"/>
    </w:pPr>
    <w:rPr>
      <w:rFonts w:ascii="Arial" w:eastAsia="Arial" w:hAnsi="Arial" w:cs="Arial"/>
      <w:lang w:val="en-US"/>
    </w:rPr>
  </w:style>
  <w:style w:type="character" w:customStyle="1" w:styleId="TextodegloboCar">
    <w:name w:val="Texto de globo Car"/>
    <w:basedOn w:val="Fuentedeprrafopredeter"/>
    <w:link w:val="Textodeglobo"/>
    <w:uiPriority w:val="99"/>
    <w:semiHidden/>
    <w:rsid w:val="008026E6"/>
    <w:rPr>
      <w:rFonts w:ascii="Tahoma" w:hAnsi="Tahoma" w:cs="Tahoma"/>
      <w:sz w:val="16"/>
      <w:szCs w:val="16"/>
    </w:rPr>
  </w:style>
  <w:style w:type="paragraph" w:styleId="Textodeglobo">
    <w:name w:val="Balloon Text"/>
    <w:basedOn w:val="Normal"/>
    <w:link w:val="TextodegloboCar"/>
    <w:uiPriority w:val="99"/>
    <w:semiHidden/>
    <w:unhideWhenUsed/>
    <w:rsid w:val="008026E6"/>
    <w:pPr>
      <w:spacing w:after="0" w:line="240" w:lineRule="auto"/>
    </w:pPr>
    <w:rPr>
      <w:rFonts w:ascii="Tahoma" w:hAnsi="Tahoma" w:cs="Tahoma"/>
      <w:sz w:val="16"/>
      <w:szCs w:val="16"/>
    </w:rPr>
  </w:style>
  <w:style w:type="paragraph" w:styleId="Encabezado">
    <w:name w:val="header"/>
    <w:aliases w:val="Encabezado1"/>
    <w:basedOn w:val="Normal"/>
    <w:link w:val="EncabezadoCar"/>
    <w:unhideWhenUsed/>
    <w:rsid w:val="008026E6"/>
    <w:pPr>
      <w:tabs>
        <w:tab w:val="center" w:pos="4419"/>
        <w:tab w:val="right" w:pos="8838"/>
      </w:tabs>
      <w:spacing w:after="0" w:line="240" w:lineRule="auto"/>
    </w:pPr>
  </w:style>
  <w:style w:type="character" w:customStyle="1" w:styleId="EncabezadoCar">
    <w:name w:val="Encabezado Car"/>
    <w:aliases w:val="Encabezado1 Car"/>
    <w:basedOn w:val="Fuentedeprrafopredeter"/>
    <w:link w:val="Encabezado"/>
    <w:rsid w:val="008026E6"/>
  </w:style>
  <w:style w:type="paragraph" w:styleId="Piedepgina">
    <w:name w:val="footer"/>
    <w:basedOn w:val="Normal"/>
    <w:link w:val="PiedepginaCar"/>
    <w:uiPriority w:val="99"/>
    <w:unhideWhenUsed/>
    <w:rsid w:val="008026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26E6"/>
  </w:style>
  <w:style w:type="character" w:styleId="Hipervnculo">
    <w:name w:val="Hyperlink"/>
    <w:basedOn w:val="Fuentedeprrafopredeter"/>
    <w:uiPriority w:val="99"/>
    <w:unhideWhenUsed/>
    <w:rsid w:val="008026E6"/>
    <w:rPr>
      <w:color w:val="0000FF" w:themeColor="hyperlink"/>
      <w:u w:val="single"/>
    </w:rPr>
  </w:style>
  <w:style w:type="table" w:styleId="Tablaconcuadrcula">
    <w:name w:val="Table Grid"/>
    <w:basedOn w:val="Tablanormal"/>
    <w:uiPriority w:val="39"/>
    <w:rsid w:val="0080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uiPriority w:val="1"/>
    <w:qFormat/>
    <w:rsid w:val="008026E6"/>
    <w:pPr>
      <w:widowControl w:val="0"/>
      <w:spacing w:after="0" w:line="252" w:lineRule="exact"/>
      <w:ind w:left="1408" w:hanging="566"/>
    </w:pPr>
    <w:rPr>
      <w:rFonts w:ascii="Arial" w:eastAsia="Arial" w:hAnsi="Arial" w:cs="Arial"/>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table" w:customStyle="1" w:styleId="a7">
    <w:basedOn w:val="TableNormal0"/>
    <w:pPr>
      <w:spacing w:after="0" w:line="240" w:lineRule="auto"/>
    </w:pPr>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15" w:type="dxa"/>
        <w:right w:w="115" w:type="dxa"/>
      </w:tblCellMar>
    </w:tblPr>
  </w:style>
  <w:style w:type="paragraph" w:styleId="Textonotapie">
    <w:name w:val="footnote text"/>
    <w:basedOn w:val="Normal"/>
    <w:link w:val="TextonotapieCar"/>
    <w:rsid w:val="005378B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5378BA"/>
    <w:rPr>
      <w:rFonts w:ascii="Times New Roman" w:eastAsia="Times New Roman" w:hAnsi="Times New Roman" w:cs="Times New Roman"/>
      <w:sz w:val="20"/>
      <w:szCs w:val="20"/>
      <w:lang w:val="es-ES" w:eastAsia="es-ES"/>
    </w:rPr>
  </w:style>
  <w:style w:type="table" w:customStyle="1" w:styleId="Tablaconcuadrcula2">
    <w:name w:val="Tabla con cuadrícula2"/>
    <w:basedOn w:val="Tablanormal"/>
    <w:next w:val="Tablaconcuadrcula"/>
    <w:uiPriority w:val="39"/>
    <w:rsid w:val="005378BA"/>
    <w:pPr>
      <w:spacing w:after="0" w:line="240" w:lineRule="auto"/>
    </w:pPr>
    <w:rPr>
      <w:lang w:val="es-ES"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s.wikipedia.org/wiki/Estrabismo" TargetMode="External"/><Relationship Id="rId13" Type="http://schemas.openxmlformats.org/officeDocument/2006/relationships/hyperlink" Target="https://es.wikipedia.org/wiki/Hipermetrop%C3%ADa" TargetMode="External"/><Relationship Id="rId18" Type="http://schemas.openxmlformats.org/officeDocument/2006/relationships/hyperlink" Target="https://es.wikipedia.org/wiki/Dioptr%C3%ADa"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es.wikipedia.org/wiki/Sinusitis" TargetMode="External"/><Relationship Id="rId7" Type="http://schemas.openxmlformats.org/officeDocument/2006/relationships/endnotes" Target="endnotes.xml"/><Relationship Id="rId12" Type="http://schemas.openxmlformats.org/officeDocument/2006/relationships/hyperlink" Target="https://es.wikipedia.org/wiki/Miop%C3%ADa" TargetMode="External"/><Relationship Id="rId17" Type="http://schemas.openxmlformats.org/officeDocument/2006/relationships/hyperlink" Target="https://es.wikipedia.org/wiki/Ametrop%C3%ADa"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es.wikipedia.org/wiki/Astigmatismo" TargetMode="External"/><Relationship Id="rId20" Type="http://schemas.openxmlformats.org/officeDocument/2006/relationships/hyperlink" Target="https://es.wikipedia.org/wiki/Ojo_human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Ojo_humano" TargetMode="External"/><Relationship Id="rId24" Type="http://schemas.openxmlformats.org/officeDocument/2006/relationships/hyperlink" Target="https://es.wikipedia.org/wiki/Acomodaci%C3%B3n_(oj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Miop%C3%ADa" TargetMode="External"/><Relationship Id="rId23" Type="http://schemas.openxmlformats.org/officeDocument/2006/relationships/hyperlink" Target="https://es.wikipedia.org/wiki/Microbio" TargetMode="External"/><Relationship Id="rId28" Type="http://schemas.openxmlformats.org/officeDocument/2006/relationships/image" Target="media/image4.png"/><Relationship Id="rId10" Type="http://schemas.openxmlformats.org/officeDocument/2006/relationships/hyperlink" Target="https://es.wikipedia.org/wiki/Retina" TargetMode="External"/><Relationship Id="rId19" Type="http://schemas.openxmlformats.org/officeDocument/2006/relationships/hyperlink" Target="https://es.wikipedia.org/wiki/Conjuntiv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wikipedia.org/wiki/Ojo_humano" TargetMode="External"/><Relationship Id="rId14" Type="http://schemas.openxmlformats.org/officeDocument/2006/relationships/hyperlink" Target="https://es.wikipedia.org/wiki/Ojo_humano" TargetMode="External"/><Relationship Id="rId22" Type="http://schemas.openxmlformats.org/officeDocument/2006/relationships/hyperlink" Target="https://es.wikipedia.org/wiki/Lente_de_contacto" TargetMode="External"/><Relationship Id="rId27" Type="http://schemas.openxmlformats.org/officeDocument/2006/relationships/image" Target="media/image5.png"/><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Ur/N2GCyfJW2oubVrVakKiSBg==">CgMxLjAyCGguZ2pkZ3hzMgloLjMwajB6bGwyCWguMWZvYjl0ZTgAciExWDBucWlhS3BUNk5vS29WQzNGSk1kMm5pb2QxazY1Vjc=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2055</Words>
  <Characters>11304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M&amp;M</dc:creator>
  <cp:lastModifiedBy>Hector Pinedo</cp:lastModifiedBy>
  <cp:revision>5</cp:revision>
  <dcterms:created xsi:type="dcterms:W3CDTF">2023-07-28T19:14:00Z</dcterms:created>
  <dcterms:modified xsi:type="dcterms:W3CDTF">2025-06-12T14:47:00Z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2025-05-05T18:08:13Z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327d9a16-d321-435b-bf58-ed0faabf1475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